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EF56" w14:textId="1C31E023" w:rsidR="000D193F" w:rsidRPr="009910AB" w:rsidRDefault="000D193F" w:rsidP="004579E9">
      <w:pPr>
        <w:pStyle w:val="Pealkiri1"/>
        <w:spacing w:line="252" w:lineRule="auto"/>
        <w:rPr>
          <w:rFonts w:ascii="Arial" w:hAnsi="Arial" w:cs="Arial"/>
          <w:color w:val="538135" w:themeColor="accent6" w:themeShade="BF"/>
          <w:sz w:val="36"/>
          <w:szCs w:val="36"/>
        </w:rPr>
      </w:pPr>
      <w:r w:rsidRPr="009910AB">
        <w:rPr>
          <w:rFonts w:ascii="Arial" w:hAnsi="Arial" w:cs="Arial"/>
          <w:color w:val="538135" w:themeColor="accent6" w:themeShade="BF"/>
          <w:sz w:val="36"/>
          <w:szCs w:val="36"/>
        </w:rPr>
        <w:t>Põlvamaa arengustrateegia 2035+</w:t>
      </w:r>
    </w:p>
    <w:p w14:paraId="03DFCC51" w14:textId="588B6C98" w:rsidR="004579E9" w:rsidRPr="009910AB" w:rsidRDefault="004579E9" w:rsidP="004579E9">
      <w:pPr>
        <w:pStyle w:val="Pealkiri1"/>
        <w:spacing w:line="252" w:lineRule="auto"/>
        <w:rPr>
          <w:rFonts w:ascii="Arial" w:hAnsi="Arial" w:cs="Arial"/>
          <w:color w:val="538135" w:themeColor="accent6" w:themeShade="BF"/>
          <w:sz w:val="36"/>
          <w:szCs w:val="36"/>
        </w:rPr>
      </w:pPr>
      <w:r w:rsidRPr="009910AB">
        <w:rPr>
          <w:rFonts w:ascii="Arial" w:hAnsi="Arial" w:cs="Arial"/>
          <w:color w:val="538135" w:themeColor="accent6" w:themeShade="BF"/>
          <w:sz w:val="36"/>
          <w:szCs w:val="36"/>
        </w:rPr>
        <w:t>Lisa 2 -</w:t>
      </w:r>
      <w:r w:rsidRPr="009910AB">
        <w:t xml:space="preserve"> </w:t>
      </w:r>
      <w:bookmarkStart w:id="0" w:name="_Toc124604984"/>
      <w:r w:rsidRPr="009910AB">
        <w:rPr>
          <w:rFonts w:ascii="Arial" w:hAnsi="Arial" w:cs="Arial"/>
          <w:color w:val="538135" w:themeColor="accent6" w:themeShade="BF"/>
          <w:sz w:val="36"/>
          <w:szCs w:val="36"/>
        </w:rPr>
        <w:t>SEOSED TEISTE ARENGUDOKUMENTIDEGA</w:t>
      </w:r>
      <w:bookmarkEnd w:id="0"/>
    </w:p>
    <w:p w14:paraId="3BADFCB8" w14:textId="77777777" w:rsidR="004579E9" w:rsidRPr="004B2480" w:rsidRDefault="004579E9" w:rsidP="004579E9">
      <w:pPr>
        <w:spacing w:line="252" w:lineRule="auto"/>
        <w:rPr>
          <w:highlight w:val="yellow"/>
        </w:rPr>
      </w:pPr>
    </w:p>
    <w:p w14:paraId="1CC4E8A7" w14:textId="25032342" w:rsidR="004579E9" w:rsidRPr="004B2480" w:rsidRDefault="004579E9" w:rsidP="004579E9">
      <w:pPr>
        <w:spacing w:after="0" w:line="252" w:lineRule="auto"/>
        <w:jc w:val="both"/>
        <w:rPr>
          <w:rFonts w:cs="Times New Roman"/>
          <w:highlight w:val="yellow"/>
          <w:u w:val="single"/>
        </w:rPr>
      </w:pPr>
      <w:r w:rsidRPr="00697D6B">
        <w:t>Põlvamaa arengustrateegia 2035+ ei ole ainus arengudokument, mis maakonna arengut suunab. Mõju maakonna arengule on ka maakonnaplaneeringul, kohalike omavalitsuste arengukavadel ning riigi valdkondlikel arengukavadel. Arengustrateegia koostamisel on seetõttu arvesse võetud juba varem kehtestatud arengudokumente.</w:t>
      </w:r>
      <w:r>
        <w:t xml:space="preserve"> </w:t>
      </w:r>
      <w:r w:rsidRPr="00697D6B">
        <w:t xml:space="preserve">Järgnevalt on kirjeldatud olulisemad seosed </w:t>
      </w:r>
      <w:r w:rsidR="000D193F">
        <w:t xml:space="preserve">erinevate maakonna arengut mõjutavate </w:t>
      </w:r>
      <w:r w:rsidRPr="00697D6B">
        <w:t xml:space="preserve">maakonnasiseste </w:t>
      </w:r>
      <w:r w:rsidR="000D193F">
        <w:t>ja</w:t>
      </w:r>
      <w:r w:rsidRPr="00697D6B">
        <w:t xml:space="preserve"> </w:t>
      </w:r>
      <w:r w:rsidR="000D193F">
        <w:t xml:space="preserve">riikliku tasandi </w:t>
      </w:r>
      <w:r w:rsidRPr="00697D6B">
        <w:t>arengudokumentidega</w:t>
      </w:r>
      <w:r w:rsidR="000D193F">
        <w:t>.</w:t>
      </w:r>
      <w:r w:rsidRPr="00697D6B">
        <w:t xml:space="preserve"> Arengustrateegia seoseid teiste arengudokumentidega on käsitletud peamiselt visiooni ja strateegiliste eesmärkide tasandil.</w:t>
      </w:r>
    </w:p>
    <w:p w14:paraId="491DFEEC" w14:textId="77777777" w:rsidR="004579E9" w:rsidRPr="004B2480" w:rsidRDefault="004579E9" w:rsidP="004579E9">
      <w:pPr>
        <w:spacing w:after="0" w:line="252" w:lineRule="auto"/>
        <w:jc w:val="both"/>
        <w:rPr>
          <w:rFonts w:cs="Times New Roman"/>
          <w:highlight w:val="yellow"/>
          <w:u w:val="single"/>
        </w:rPr>
      </w:pPr>
    </w:p>
    <w:p w14:paraId="7FEDB9BE" w14:textId="77777777" w:rsidR="004579E9" w:rsidRPr="00584480" w:rsidRDefault="004579E9" w:rsidP="004579E9">
      <w:pPr>
        <w:spacing w:after="0" w:line="252" w:lineRule="auto"/>
        <w:jc w:val="both"/>
        <w:rPr>
          <w:rFonts w:cs="Times New Roman"/>
          <w:sz w:val="32"/>
          <w:szCs w:val="32"/>
          <w:u w:val="single"/>
        </w:rPr>
      </w:pPr>
      <w:r w:rsidRPr="00584480">
        <w:rPr>
          <w:color w:val="538135" w:themeColor="accent6" w:themeShade="BF"/>
          <w:sz w:val="32"/>
          <w:szCs w:val="32"/>
        </w:rPr>
        <w:t>Kohalike omavalitsuste arengukavad</w:t>
      </w:r>
    </w:p>
    <w:p w14:paraId="5DFBBC63" w14:textId="77777777" w:rsidR="004579E9" w:rsidRPr="004B2480" w:rsidRDefault="004579E9" w:rsidP="004579E9">
      <w:pPr>
        <w:spacing w:after="0" w:line="252" w:lineRule="auto"/>
        <w:jc w:val="both"/>
        <w:rPr>
          <w:rFonts w:cs="Times New Roman"/>
          <w:highlight w:val="yellow"/>
          <w:u w:val="single"/>
        </w:rPr>
      </w:pPr>
    </w:p>
    <w:p w14:paraId="1D77004D" w14:textId="3F243037" w:rsidR="004579E9" w:rsidRPr="00EC4D3C" w:rsidRDefault="004579E9" w:rsidP="004579E9">
      <w:pPr>
        <w:spacing w:line="252" w:lineRule="auto"/>
        <w:jc w:val="both"/>
        <w:rPr>
          <w:rFonts w:cs="Times New Roman"/>
        </w:rPr>
      </w:pPr>
      <w:r w:rsidRPr="00EC4D3C">
        <w:rPr>
          <w:rFonts w:cs="Times New Roman"/>
        </w:rPr>
        <w:t>Kanepi valla arengukava aastateks 2019-2026: „</w:t>
      </w:r>
      <w:r w:rsidRPr="00EC4D3C">
        <w:rPr>
          <w:rFonts w:cs="Times New Roman"/>
          <w:i/>
        </w:rPr>
        <w:t xml:space="preserve">Kanepi vald on terviklikult arenenud kaunis, mitmekesise majanduse ning kvaliteetse </w:t>
      </w:r>
      <w:r w:rsidR="00EC4D3C" w:rsidRPr="00EC4D3C">
        <w:rPr>
          <w:rFonts w:cs="Times New Roman"/>
          <w:i/>
        </w:rPr>
        <w:t xml:space="preserve">loodus- ja </w:t>
      </w:r>
      <w:r w:rsidRPr="00EC4D3C">
        <w:rPr>
          <w:rFonts w:cs="Times New Roman"/>
          <w:i/>
        </w:rPr>
        <w:t xml:space="preserve">elukeskkonnaga piirkond, kus väärtustatakse teadmisi, oskusi, </w:t>
      </w:r>
      <w:r w:rsidR="00EC4D3C" w:rsidRPr="00EC4D3C">
        <w:rPr>
          <w:rFonts w:cs="Times New Roman"/>
          <w:i/>
        </w:rPr>
        <w:t xml:space="preserve">uuenduslikkust, </w:t>
      </w:r>
      <w:r w:rsidRPr="00EC4D3C">
        <w:rPr>
          <w:rFonts w:cs="Times New Roman"/>
          <w:i/>
        </w:rPr>
        <w:t>aktiivsust ning kultuuritraditsioone.</w:t>
      </w:r>
      <w:r w:rsidRPr="00EC4D3C">
        <w:rPr>
          <w:rFonts w:cs="Times New Roman"/>
        </w:rPr>
        <w:t>“</w:t>
      </w:r>
    </w:p>
    <w:p w14:paraId="795357BF" w14:textId="2CE950BA" w:rsidR="004579E9" w:rsidRPr="00EC4D3C" w:rsidRDefault="004579E9" w:rsidP="004579E9">
      <w:pPr>
        <w:spacing w:line="252" w:lineRule="auto"/>
        <w:jc w:val="both"/>
        <w:rPr>
          <w:rFonts w:cs="Times New Roman"/>
        </w:rPr>
      </w:pPr>
      <w:r w:rsidRPr="00EC4D3C">
        <w:rPr>
          <w:rFonts w:cs="Times New Roman"/>
        </w:rPr>
        <w:t>Põlva valla arengukva aastateks 20</w:t>
      </w:r>
      <w:r w:rsidR="00F266BF">
        <w:rPr>
          <w:rFonts w:cs="Times New Roman"/>
        </w:rPr>
        <w:t>19</w:t>
      </w:r>
      <w:r w:rsidRPr="00EC4D3C">
        <w:rPr>
          <w:rFonts w:cs="Times New Roman"/>
        </w:rPr>
        <w:t>-2030: „</w:t>
      </w:r>
      <w:r w:rsidRPr="00EC4D3C">
        <w:rPr>
          <w:rFonts w:cs="Times New Roman"/>
          <w:i/>
        </w:rPr>
        <w:t>Põlva on toimeka kogukonnaga vald, kus hoitakse ja väärtustatakse mitmekesist omakultuuri ning aktiivset eluviisi. Põlva noored on ettevõtlikud ja tolerantsed ning kodukohatunnetusega. Põlva vald oma puhta looduse ja miljööväärtuslike aladega on koht, kus elatakse põlvest põlve. Valla koostöö teiste organisatsioonidega on aktiivne ja avatud. Valla eri piirkonnad on saavutanud ühtlase arengutaseme ja majanduslikult jätkusuutlikud.</w:t>
      </w:r>
      <w:r w:rsidRPr="00EC4D3C">
        <w:rPr>
          <w:rFonts w:cs="Times New Roman"/>
        </w:rPr>
        <w:t>“</w:t>
      </w:r>
    </w:p>
    <w:p w14:paraId="0D5A290F" w14:textId="56A87EA4" w:rsidR="004579E9" w:rsidRPr="00F266BF" w:rsidRDefault="004579E9" w:rsidP="004579E9">
      <w:pPr>
        <w:spacing w:line="252" w:lineRule="auto"/>
        <w:jc w:val="both"/>
        <w:rPr>
          <w:rFonts w:cs="Times New Roman"/>
        </w:rPr>
      </w:pPr>
      <w:r w:rsidRPr="00F266BF">
        <w:rPr>
          <w:rFonts w:cs="Times New Roman"/>
        </w:rPr>
        <w:t>Räpina valla arengukava aastateks 20</w:t>
      </w:r>
      <w:r w:rsidR="00F266BF" w:rsidRPr="00F266BF">
        <w:rPr>
          <w:rFonts w:cs="Times New Roman"/>
        </w:rPr>
        <w:t>23-</w:t>
      </w:r>
      <w:r w:rsidRPr="00F266BF">
        <w:rPr>
          <w:rFonts w:cs="Times New Roman"/>
        </w:rPr>
        <w:t>2030: „</w:t>
      </w:r>
      <w:r w:rsidRPr="00F266BF">
        <w:rPr>
          <w:rFonts w:cs="Times New Roman"/>
          <w:i/>
        </w:rPr>
        <w:t>Räpina valla visioon on olla tuntud ja tunnustatud kui turvalise ja keskkonnasõbraliku elu-, puhke- ning puhta looduskeskkonnaga, soodsa ettevõtluskliimaga, elujõulise ja aktiivse elanikkonnaga vald, mille märksõnadeks on jätkusuutlikkus, koostöö ning kodanikualgatus.</w:t>
      </w:r>
      <w:r w:rsidRPr="00F266BF">
        <w:rPr>
          <w:rFonts w:cs="Times New Roman"/>
        </w:rPr>
        <w:t>“</w:t>
      </w:r>
    </w:p>
    <w:p w14:paraId="56E5E2DD" w14:textId="76AEBE75" w:rsidR="004579E9" w:rsidRDefault="004579E9" w:rsidP="004579E9">
      <w:pPr>
        <w:spacing w:line="252" w:lineRule="auto"/>
        <w:jc w:val="both"/>
        <w:rPr>
          <w:rFonts w:cs="Times New Roman"/>
        </w:rPr>
      </w:pPr>
      <w:r w:rsidRPr="009B6163">
        <w:rPr>
          <w:rFonts w:cs="Times New Roman"/>
        </w:rPr>
        <w:t>Kõigi kolme Põlvamaa kohaliku omavalitsuse visioonid tähtsustavad sarnaselt Põlvamaa arengustrateegia 2035+ visioonile maakonna puhast ja tervislikku elu- ja puhkekeskkonda. Sarnaselt strateegiale, peetakse ka kohalike omavalitsuste arengukavades oluliseks maakonna ettevõtluskeskkonna arendamist.</w:t>
      </w:r>
    </w:p>
    <w:p w14:paraId="28CD7575" w14:textId="3D9132EE" w:rsidR="00903DFD" w:rsidRDefault="00903DFD" w:rsidP="004579E9">
      <w:pPr>
        <w:spacing w:line="252" w:lineRule="auto"/>
        <w:jc w:val="both"/>
        <w:rPr>
          <w:rFonts w:cs="Times New Roman"/>
        </w:rPr>
      </w:pPr>
      <w:r>
        <w:rPr>
          <w:rFonts w:cs="Times New Roman"/>
        </w:rPr>
        <w:t>Põlvamaa arengustrateegia 2035+ strateegiliste eesmärkide seosed maakonna kohalike omavalitsuste arengukavades toodud eesmärkidega on toodud tabeli</w:t>
      </w:r>
      <w:r w:rsidR="002D5062">
        <w:rPr>
          <w:rFonts w:cs="Times New Roman"/>
        </w:rPr>
        <w:t>te</w:t>
      </w:r>
      <w:r>
        <w:rPr>
          <w:rFonts w:cs="Times New Roman"/>
        </w:rPr>
        <w:t>s 1</w:t>
      </w:r>
      <w:r w:rsidR="002D5062">
        <w:rPr>
          <w:rFonts w:cs="Times New Roman"/>
        </w:rPr>
        <w:t>, 2 ja 3</w:t>
      </w:r>
      <w:r>
        <w:rPr>
          <w:rFonts w:cs="Times New Roman"/>
        </w:rPr>
        <w:t>. Ka sealt on selgelt näha, et maakonna ja kohalike omavalitsuste arengueesmärgid on tihedalt seotud ning täiendavad ja tugevdavad üksteist.</w:t>
      </w:r>
    </w:p>
    <w:p w14:paraId="40CEDD56" w14:textId="77777777" w:rsidR="00584480" w:rsidRDefault="00584480">
      <w:pPr>
        <w:rPr>
          <w:rFonts w:cs="Times New Roman"/>
          <w:b/>
          <w:bCs/>
        </w:rPr>
      </w:pPr>
      <w:r>
        <w:rPr>
          <w:rFonts w:cs="Times New Roman"/>
          <w:b/>
          <w:bCs/>
        </w:rPr>
        <w:br w:type="page"/>
      </w:r>
    </w:p>
    <w:p w14:paraId="41BB2E1F" w14:textId="3502A05D" w:rsidR="00903DFD" w:rsidRPr="009B6163" w:rsidRDefault="00903DFD" w:rsidP="004579E9">
      <w:pPr>
        <w:spacing w:line="252" w:lineRule="auto"/>
        <w:jc w:val="both"/>
        <w:rPr>
          <w:rFonts w:cs="Times New Roman"/>
        </w:rPr>
      </w:pPr>
      <w:r w:rsidRPr="00903DFD">
        <w:rPr>
          <w:rFonts w:cs="Times New Roman"/>
          <w:b/>
          <w:bCs/>
        </w:rPr>
        <w:lastRenderedPageBreak/>
        <w:t>Tabel 1.</w:t>
      </w:r>
      <w:r>
        <w:rPr>
          <w:rFonts w:cs="Times New Roman"/>
        </w:rPr>
        <w:t xml:space="preserve"> </w:t>
      </w:r>
      <w:r w:rsidR="00791AE0" w:rsidRPr="00791AE0">
        <w:rPr>
          <w:rFonts w:cs="Times New Roman"/>
        </w:rPr>
        <w:t xml:space="preserve">Kanepi valla </w:t>
      </w:r>
      <w:r w:rsidR="002D5062">
        <w:rPr>
          <w:rFonts w:cs="Times New Roman"/>
        </w:rPr>
        <w:t xml:space="preserve">arengukava </w:t>
      </w:r>
      <w:r w:rsidR="00791AE0" w:rsidRPr="00791AE0">
        <w:rPr>
          <w:rFonts w:cs="Times New Roman"/>
        </w:rPr>
        <w:t>strateegilis</w:t>
      </w:r>
      <w:r w:rsidR="00791AE0">
        <w:rPr>
          <w:rFonts w:cs="Times New Roman"/>
        </w:rPr>
        <w:t>te</w:t>
      </w:r>
      <w:r w:rsidR="00791AE0" w:rsidRPr="00791AE0">
        <w:rPr>
          <w:rFonts w:cs="Times New Roman"/>
        </w:rPr>
        <w:t xml:space="preserve"> eesmär</w:t>
      </w:r>
      <w:r w:rsidR="00791AE0">
        <w:rPr>
          <w:rFonts w:cs="Times New Roman"/>
        </w:rPr>
        <w:t xml:space="preserve">kide </w:t>
      </w:r>
      <w:r w:rsidR="00791AE0" w:rsidRPr="00791AE0">
        <w:rPr>
          <w:rFonts w:cs="Times New Roman"/>
        </w:rPr>
        <w:t>ja maakonna</w:t>
      </w:r>
      <w:r w:rsidR="00791AE0">
        <w:rPr>
          <w:rFonts w:cs="Times New Roman"/>
        </w:rPr>
        <w:t xml:space="preserve"> </w:t>
      </w:r>
      <w:r w:rsidR="002D5062">
        <w:rPr>
          <w:rFonts w:cs="Times New Roman"/>
        </w:rPr>
        <w:t>arengustrateegia</w:t>
      </w:r>
      <w:r w:rsidR="00791AE0" w:rsidRPr="00791AE0">
        <w:rPr>
          <w:rFonts w:cs="Times New Roman"/>
        </w:rPr>
        <w:t xml:space="preserve"> strateegiliste eesmärkide</w:t>
      </w:r>
      <w:r w:rsidR="00791AE0">
        <w:rPr>
          <w:rFonts w:cs="Times New Roman"/>
        </w:rPr>
        <w:t xml:space="preserve"> seosed</w:t>
      </w:r>
      <w:r>
        <w:rPr>
          <w:rFonts w:cs="Times New Roman"/>
        </w:rPr>
        <w:t>.</w:t>
      </w:r>
    </w:p>
    <w:tbl>
      <w:tblPr>
        <w:tblStyle w:val="Ruuttabel4rhk6"/>
        <w:tblW w:w="0" w:type="auto"/>
        <w:tblLook w:val="04A0" w:firstRow="1" w:lastRow="0" w:firstColumn="1" w:lastColumn="0" w:noHBand="0" w:noVBand="1"/>
      </w:tblPr>
      <w:tblGrid>
        <w:gridCol w:w="6941"/>
        <w:gridCol w:w="2121"/>
      </w:tblGrid>
      <w:tr w:rsidR="008D3687" w:rsidRPr="008D3687" w14:paraId="7195EA19" w14:textId="77777777" w:rsidTr="00BE1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5F3AB15" w14:textId="4026E62A" w:rsidR="00140EA6" w:rsidRPr="008D3687" w:rsidRDefault="00791AE0" w:rsidP="008D3687">
            <w:pPr>
              <w:jc w:val="center"/>
              <w:rPr>
                <w:sz w:val="28"/>
                <w:szCs w:val="28"/>
              </w:rPr>
            </w:pPr>
            <w:r w:rsidRPr="008D3687">
              <w:rPr>
                <w:rFonts w:cs="Times New Roman"/>
                <w:sz w:val="28"/>
                <w:szCs w:val="28"/>
              </w:rPr>
              <w:t>Kanepi valla strateegilis</w:t>
            </w:r>
            <w:r w:rsidRPr="008D3687">
              <w:rPr>
                <w:rFonts w:cs="Times New Roman"/>
                <w:sz w:val="28"/>
                <w:szCs w:val="28"/>
              </w:rPr>
              <w:t>ed</w:t>
            </w:r>
            <w:r w:rsidRPr="008D3687">
              <w:rPr>
                <w:rFonts w:cs="Times New Roman"/>
                <w:sz w:val="28"/>
                <w:szCs w:val="28"/>
              </w:rPr>
              <w:t xml:space="preserve"> eesmär</w:t>
            </w:r>
            <w:r w:rsidRPr="008D3687">
              <w:rPr>
                <w:rFonts w:cs="Times New Roman"/>
                <w:sz w:val="28"/>
                <w:szCs w:val="28"/>
              </w:rPr>
              <w:t>gid</w:t>
            </w:r>
          </w:p>
        </w:tc>
        <w:tc>
          <w:tcPr>
            <w:tcW w:w="2121" w:type="dxa"/>
            <w:vAlign w:val="center"/>
          </w:tcPr>
          <w:p w14:paraId="6FF6FEB2" w14:textId="3A184E05" w:rsidR="002D5062" w:rsidRPr="008D3687" w:rsidRDefault="002D5062" w:rsidP="008D3687">
            <w:pPr>
              <w:jc w:val="center"/>
              <w:cnfStyle w:val="100000000000" w:firstRow="1" w:lastRow="0" w:firstColumn="0" w:lastColumn="0" w:oddVBand="0" w:evenVBand="0" w:oddHBand="0" w:evenHBand="0" w:firstRowFirstColumn="0" w:firstRowLastColumn="0" w:lastRowFirstColumn="0" w:lastRowLastColumn="0"/>
              <w:rPr>
                <w:sz w:val="28"/>
                <w:szCs w:val="28"/>
              </w:rPr>
            </w:pPr>
            <w:r w:rsidRPr="008D3687">
              <w:rPr>
                <w:sz w:val="28"/>
                <w:szCs w:val="28"/>
              </w:rPr>
              <w:t>Maakonna vastav strateegiline eesmärk</w:t>
            </w:r>
          </w:p>
        </w:tc>
      </w:tr>
      <w:tr w:rsidR="008D3687" w:rsidRPr="008D3687" w14:paraId="238175DE"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F42AF9B" w14:textId="12B9A209" w:rsidR="00140EA6" w:rsidRPr="00192B78" w:rsidRDefault="00140EA6" w:rsidP="00FD1B30">
            <w:pPr>
              <w:spacing w:before="40" w:after="40"/>
              <w:rPr>
                <w:b w:val="0"/>
                <w:bCs w:val="0"/>
                <w:color w:val="000000" w:themeColor="text1"/>
                <w:sz w:val="24"/>
                <w:szCs w:val="24"/>
              </w:rPr>
            </w:pPr>
            <w:r w:rsidRPr="00192B78">
              <w:rPr>
                <w:b w:val="0"/>
                <w:bCs w:val="0"/>
                <w:color w:val="000000" w:themeColor="text1"/>
                <w:sz w:val="24"/>
                <w:szCs w:val="24"/>
              </w:rPr>
              <w:t>1. Puhta ja turvalise loodus- ja elukeskkonna säilitamine ning arendamine. Selle</w:t>
            </w:r>
            <w:r w:rsidR="00791AE0" w:rsidRPr="00192B78">
              <w:rPr>
                <w:b w:val="0"/>
                <w:bCs w:val="0"/>
                <w:color w:val="000000" w:themeColor="text1"/>
                <w:sz w:val="24"/>
                <w:szCs w:val="24"/>
              </w:rPr>
              <w:t xml:space="preserve"> </w:t>
            </w:r>
            <w:r w:rsidRPr="00192B78">
              <w:rPr>
                <w:b w:val="0"/>
                <w:bCs w:val="0"/>
                <w:color w:val="000000" w:themeColor="text1"/>
                <w:sz w:val="24"/>
                <w:szCs w:val="24"/>
              </w:rPr>
              <w:t>saavutamiseks säästva arengu propageerimine ning keskkonnaprojektides</w:t>
            </w:r>
            <w:r w:rsidR="00791AE0" w:rsidRPr="00192B78">
              <w:rPr>
                <w:b w:val="0"/>
                <w:bCs w:val="0"/>
                <w:color w:val="000000" w:themeColor="text1"/>
                <w:sz w:val="24"/>
                <w:szCs w:val="24"/>
              </w:rPr>
              <w:t xml:space="preserve"> </w:t>
            </w:r>
            <w:r w:rsidRPr="00192B78">
              <w:rPr>
                <w:b w:val="0"/>
                <w:bCs w:val="0"/>
                <w:color w:val="000000" w:themeColor="text1"/>
                <w:sz w:val="24"/>
                <w:szCs w:val="24"/>
              </w:rPr>
              <w:t>osalemine.</w:t>
            </w:r>
          </w:p>
        </w:tc>
        <w:tc>
          <w:tcPr>
            <w:tcW w:w="2121" w:type="dxa"/>
            <w:vAlign w:val="center"/>
          </w:tcPr>
          <w:p w14:paraId="5C577DC9" w14:textId="4CD779D5" w:rsidR="00140EA6" w:rsidRPr="00192B78" w:rsidRDefault="00A06519" w:rsidP="008D3687">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192B78">
              <w:rPr>
                <w:color w:val="000000" w:themeColor="text1"/>
                <w:sz w:val="24"/>
                <w:szCs w:val="24"/>
              </w:rPr>
              <w:t xml:space="preserve">SE4, </w:t>
            </w:r>
            <w:r w:rsidR="00140EA6" w:rsidRPr="00192B78">
              <w:rPr>
                <w:color w:val="000000" w:themeColor="text1"/>
                <w:sz w:val="24"/>
                <w:szCs w:val="24"/>
              </w:rPr>
              <w:t>SE6</w:t>
            </w:r>
          </w:p>
        </w:tc>
      </w:tr>
      <w:tr w:rsidR="008D3687" w:rsidRPr="008D3687" w14:paraId="0513AB0A" w14:textId="77777777" w:rsidTr="00BE1F22">
        <w:tc>
          <w:tcPr>
            <w:cnfStyle w:val="001000000000" w:firstRow="0" w:lastRow="0" w:firstColumn="1" w:lastColumn="0" w:oddVBand="0" w:evenVBand="0" w:oddHBand="0" w:evenHBand="0" w:firstRowFirstColumn="0" w:firstRowLastColumn="0" w:lastRowFirstColumn="0" w:lastRowLastColumn="0"/>
            <w:tcW w:w="6941" w:type="dxa"/>
          </w:tcPr>
          <w:p w14:paraId="38938411" w14:textId="53DAB258" w:rsidR="00140EA6" w:rsidRPr="00192B78" w:rsidRDefault="00140EA6" w:rsidP="00FD1B30">
            <w:pPr>
              <w:spacing w:before="40" w:after="40"/>
              <w:rPr>
                <w:b w:val="0"/>
                <w:bCs w:val="0"/>
                <w:color w:val="000000" w:themeColor="text1"/>
                <w:sz w:val="24"/>
                <w:szCs w:val="24"/>
              </w:rPr>
            </w:pPr>
            <w:r w:rsidRPr="00192B78">
              <w:rPr>
                <w:b w:val="0"/>
                <w:bCs w:val="0"/>
                <w:color w:val="000000" w:themeColor="text1"/>
                <w:sz w:val="24"/>
                <w:szCs w:val="24"/>
              </w:rPr>
              <w:t>2. Ettevõtluse arengu toetamiseks majanduskliima parandamine, väikeettevõtluse</w:t>
            </w:r>
            <w:r w:rsidR="00791AE0" w:rsidRPr="00192B78">
              <w:rPr>
                <w:b w:val="0"/>
                <w:bCs w:val="0"/>
                <w:color w:val="000000" w:themeColor="text1"/>
                <w:sz w:val="24"/>
                <w:szCs w:val="24"/>
              </w:rPr>
              <w:t xml:space="preserve"> </w:t>
            </w:r>
            <w:r w:rsidRPr="00192B78">
              <w:rPr>
                <w:b w:val="0"/>
                <w:bCs w:val="0"/>
                <w:color w:val="000000" w:themeColor="text1"/>
                <w:sz w:val="24"/>
                <w:szCs w:val="24"/>
              </w:rPr>
              <w:t>toetamine ning tehnilise infrastruktuuri arendamine.</w:t>
            </w:r>
          </w:p>
        </w:tc>
        <w:tc>
          <w:tcPr>
            <w:tcW w:w="2121" w:type="dxa"/>
            <w:vAlign w:val="center"/>
          </w:tcPr>
          <w:p w14:paraId="0E3E3F6B" w14:textId="1DD9586C" w:rsidR="00140EA6" w:rsidRPr="00192B78" w:rsidRDefault="00A06519" w:rsidP="008D3687">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192B78">
              <w:rPr>
                <w:color w:val="000000" w:themeColor="text1"/>
                <w:sz w:val="24"/>
                <w:szCs w:val="24"/>
              </w:rPr>
              <w:t>SE5, SE6</w:t>
            </w:r>
          </w:p>
        </w:tc>
      </w:tr>
      <w:tr w:rsidR="008D3687" w:rsidRPr="008D3687" w14:paraId="48E8BFF8"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E9556D4" w14:textId="37EA434C" w:rsidR="00140EA6" w:rsidRPr="00192B78" w:rsidRDefault="00140EA6" w:rsidP="00FD1B30">
            <w:pPr>
              <w:spacing w:before="40" w:after="40"/>
              <w:rPr>
                <w:b w:val="0"/>
                <w:bCs w:val="0"/>
                <w:color w:val="000000" w:themeColor="text1"/>
                <w:sz w:val="24"/>
                <w:szCs w:val="24"/>
              </w:rPr>
            </w:pPr>
            <w:r w:rsidRPr="00192B78">
              <w:rPr>
                <w:b w:val="0"/>
                <w:bCs w:val="0"/>
                <w:color w:val="000000" w:themeColor="text1"/>
                <w:sz w:val="24"/>
                <w:szCs w:val="24"/>
              </w:rPr>
              <w:t>3. Turismi konkurentsivõime suurendamine läbi olemasolevate võimaluste</w:t>
            </w:r>
            <w:r w:rsidR="00791AE0" w:rsidRPr="00192B78">
              <w:rPr>
                <w:b w:val="0"/>
                <w:bCs w:val="0"/>
                <w:color w:val="000000" w:themeColor="text1"/>
                <w:sz w:val="24"/>
                <w:szCs w:val="24"/>
              </w:rPr>
              <w:t xml:space="preserve"> </w:t>
            </w:r>
            <w:r w:rsidRPr="00192B78">
              <w:rPr>
                <w:b w:val="0"/>
                <w:bCs w:val="0"/>
                <w:color w:val="000000" w:themeColor="text1"/>
                <w:sz w:val="24"/>
                <w:szCs w:val="24"/>
              </w:rPr>
              <w:t>parema rakendamise ja uute lahenduste kasutuselevõtmise, valla kui</w:t>
            </w:r>
            <w:r w:rsidR="00791AE0" w:rsidRPr="00192B78">
              <w:rPr>
                <w:b w:val="0"/>
                <w:bCs w:val="0"/>
                <w:color w:val="000000" w:themeColor="text1"/>
                <w:sz w:val="24"/>
                <w:szCs w:val="24"/>
              </w:rPr>
              <w:t xml:space="preserve"> </w:t>
            </w:r>
            <w:r w:rsidRPr="00192B78">
              <w:rPr>
                <w:b w:val="0"/>
                <w:bCs w:val="0"/>
                <w:color w:val="000000" w:themeColor="text1"/>
                <w:sz w:val="24"/>
                <w:szCs w:val="24"/>
              </w:rPr>
              <w:t>turismisihtkoha maine kujundamine ning selle teadvustamine väljaspool valda.</w:t>
            </w:r>
          </w:p>
        </w:tc>
        <w:tc>
          <w:tcPr>
            <w:tcW w:w="2121" w:type="dxa"/>
            <w:vAlign w:val="center"/>
          </w:tcPr>
          <w:p w14:paraId="2230E5B3" w14:textId="0CB67C11" w:rsidR="00140EA6" w:rsidRPr="00192B78" w:rsidRDefault="00A06519" w:rsidP="008D3687">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192B78">
              <w:rPr>
                <w:color w:val="000000" w:themeColor="text1"/>
                <w:sz w:val="24"/>
                <w:szCs w:val="24"/>
              </w:rPr>
              <w:t>SE5</w:t>
            </w:r>
          </w:p>
        </w:tc>
      </w:tr>
      <w:tr w:rsidR="008D3687" w:rsidRPr="008D3687" w14:paraId="52180008" w14:textId="77777777" w:rsidTr="00BE1F22">
        <w:tc>
          <w:tcPr>
            <w:cnfStyle w:val="001000000000" w:firstRow="0" w:lastRow="0" w:firstColumn="1" w:lastColumn="0" w:oddVBand="0" w:evenVBand="0" w:oddHBand="0" w:evenHBand="0" w:firstRowFirstColumn="0" w:firstRowLastColumn="0" w:lastRowFirstColumn="0" w:lastRowLastColumn="0"/>
            <w:tcW w:w="6941" w:type="dxa"/>
          </w:tcPr>
          <w:p w14:paraId="241972EC" w14:textId="44854D38" w:rsidR="00140EA6" w:rsidRPr="00192B78" w:rsidRDefault="00140EA6" w:rsidP="00FD1B30">
            <w:pPr>
              <w:spacing w:before="40" w:after="40"/>
              <w:rPr>
                <w:b w:val="0"/>
                <w:bCs w:val="0"/>
                <w:color w:val="000000" w:themeColor="text1"/>
                <w:sz w:val="24"/>
                <w:szCs w:val="24"/>
              </w:rPr>
            </w:pPr>
            <w:r w:rsidRPr="00192B78">
              <w:rPr>
                <w:b w:val="0"/>
                <w:bCs w:val="0"/>
                <w:color w:val="000000" w:themeColor="text1"/>
                <w:sz w:val="24"/>
                <w:szCs w:val="24"/>
              </w:rPr>
              <w:t>4. Valla haridussüsteemi arendamine, hariduse kvaliteedi, konkurentsivõime ja</w:t>
            </w:r>
            <w:r w:rsidR="00791AE0" w:rsidRPr="00192B78">
              <w:rPr>
                <w:b w:val="0"/>
                <w:bCs w:val="0"/>
                <w:color w:val="000000" w:themeColor="text1"/>
                <w:sz w:val="24"/>
                <w:szCs w:val="24"/>
              </w:rPr>
              <w:t xml:space="preserve"> </w:t>
            </w:r>
            <w:r w:rsidRPr="00192B78">
              <w:rPr>
                <w:b w:val="0"/>
                <w:bCs w:val="0"/>
                <w:color w:val="000000" w:themeColor="text1"/>
                <w:sz w:val="24"/>
                <w:szCs w:val="24"/>
              </w:rPr>
              <w:t>infrastruktuuri parandamine ning kaasajastamine.</w:t>
            </w:r>
          </w:p>
        </w:tc>
        <w:tc>
          <w:tcPr>
            <w:tcW w:w="2121" w:type="dxa"/>
            <w:vAlign w:val="center"/>
          </w:tcPr>
          <w:p w14:paraId="7F5A9BCD" w14:textId="11D65540" w:rsidR="00140EA6" w:rsidRPr="00192B78" w:rsidRDefault="00A06519" w:rsidP="008D3687">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192B78">
              <w:rPr>
                <w:color w:val="000000" w:themeColor="text1"/>
                <w:sz w:val="24"/>
                <w:szCs w:val="24"/>
              </w:rPr>
              <w:t>SE1</w:t>
            </w:r>
          </w:p>
        </w:tc>
      </w:tr>
      <w:tr w:rsidR="008D3687" w:rsidRPr="008D3687" w14:paraId="4419FF30"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7DC616C8" w14:textId="24F0DFD5" w:rsidR="00140EA6" w:rsidRPr="00192B78" w:rsidRDefault="00140EA6" w:rsidP="00FD1B30">
            <w:pPr>
              <w:spacing w:before="40" w:after="40"/>
              <w:rPr>
                <w:b w:val="0"/>
                <w:bCs w:val="0"/>
                <w:color w:val="000000" w:themeColor="text1"/>
                <w:sz w:val="24"/>
                <w:szCs w:val="24"/>
              </w:rPr>
            </w:pPr>
            <w:r w:rsidRPr="00192B78">
              <w:rPr>
                <w:b w:val="0"/>
                <w:bCs w:val="0"/>
                <w:color w:val="000000" w:themeColor="text1"/>
                <w:sz w:val="24"/>
                <w:szCs w:val="24"/>
              </w:rPr>
              <w:t>5. Kultuuriruumi arendamine läbi elanike aktiveerimise, piiriülese koostöö ja</w:t>
            </w:r>
            <w:r w:rsidR="00791AE0" w:rsidRPr="00192B78">
              <w:rPr>
                <w:b w:val="0"/>
                <w:bCs w:val="0"/>
                <w:color w:val="000000" w:themeColor="text1"/>
                <w:sz w:val="24"/>
                <w:szCs w:val="24"/>
              </w:rPr>
              <w:t xml:space="preserve"> </w:t>
            </w:r>
            <w:r w:rsidRPr="00192B78">
              <w:rPr>
                <w:b w:val="0"/>
                <w:bCs w:val="0"/>
                <w:color w:val="000000" w:themeColor="text1"/>
                <w:sz w:val="24"/>
                <w:szCs w:val="24"/>
              </w:rPr>
              <w:t>sportimisvõimaluste kaasajastamise ning mitmekesistamise.</w:t>
            </w:r>
          </w:p>
        </w:tc>
        <w:tc>
          <w:tcPr>
            <w:tcW w:w="2121" w:type="dxa"/>
            <w:vAlign w:val="center"/>
          </w:tcPr>
          <w:p w14:paraId="3364FBBB" w14:textId="4487F504" w:rsidR="00140EA6" w:rsidRPr="00192B78" w:rsidRDefault="00A06519" w:rsidP="008D3687">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192B78">
              <w:rPr>
                <w:color w:val="000000" w:themeColor="text1"/>
                <w:sz w:val="24"/>
                <w:szCs w:val="24"/>
              </w:rPr>
              <w:t>SE1</w:t>
            </w:r>
          </w:p>
        </w:tc>
      </w:tr>
      <w:tr w:rsidR="008D3687" w:rsidRPr="008D3687" w14:paraId="4D6B0B4B" w14:textId="77777777" w:rsidTr="00BE1F22">
        <w:tc>
          <w:tcPr>
            <w:cnfStyle w:val="001000000000" w:firstRow="0" w:lastRow="0" w:firstColumn="1" w:lastColumn="0" w:oddVBand="0" w:evenVBand="0" w:oddHBand="0" w:evenHBand="0" w:firstRowFirstColumn="0" w:firstRowLastColumn="0" w:lastRowFirstColumn="0" w:lastRowLastColumn="0"/>
            <w:tcW w:w="6941" w:type="dxa"/>
          </w:tcPr>
          <w:p w14:paraId="345FAE81" w14:textId="1AAEE71C" w:rsidR="00140EA6" w:rsidRPr="00192B78" w:rsidRDefault="00140EA6" w:rsidP="00FD1B30">
            <w:pPr>
              <w:spacing w:before="40" w:after="40"/>
              <w:rPr>
                <w:b w:val="0"/>
                <w:bCs w:val="0"/>
                <w:color w:val="000000" w:themeColor="text1"/>
                <w:sz w:val="24"/>
                <w:szCs w:val="24"/>
              </w:rPr>
            </w:pPr>
            <w:r w:rsidRPr="00192B78">
              <w:rPr>
                <w:b w:val="0"/>
                <w:bCs w:val="0"/>
                <w:color w:val="000000" w:themeColor="text1"/>
                <w:sz w:val="24"/>
                <w:szCs w:val="24"/>
              </w:rPr>
              <w:t>6. Sotsiaalhoole</w:t>
            </w:r>
            <w:r w:rsidRPr="00192B78">
              <w:rPr>
                <w:b w:val="0"/>
                <w:bCs w:val="0"/>
                <w:color w:val="000000" w:themeColor="text1"/>
                <w:sz w:val="24"/>
                <w:szCs w:val="24"/>
              </w:rPr>
              <w:softHyphen/>
              <w:t>kande</w:t>
            </w:r>
            <w:r w:rsidRPr="00192B78">
              <w:rPr>
                <w:b w:val="0"/>
                <w:bCs w:val="0"/>
                <w:color w:val="000000" w:themeColor="text1"/>
                <w:sz w:val="24"/>
                <w:szCs w:val="24"/>
              </w:rPr>
              <w:softHyphen/>
              <w:t>süsteemi kaasajastamine ning elanike tervishoiualase</w:t>
            </w:r>
            <w:r w:rsidR="00791AE0" w:rsidRPr="00192B78">
              <w:rPr>
                <w:b w:val="0"/>
                <w:bCs w:val="0"/>
                <w:color w:val="000000" w:themeColor="text1"/>
                <w:sz w:val="24"/>
                <w:szCs w:val="24"/>
              </w:rPr>
              <w:t xml:space="preserve"> </w:t>
            </w:r>
            <w:r w:rsidRPr="00192B78">
              <w:rPr>
                <w:b w:val="0"/>
                <w:bCs w:val="0"/>
                <w:color w:val="000000" w:themeColor="text1"/>
                <w:sz w:val="24"/>
                <w:szCs w:val="24"/>
              </w:rPr>
              <w:t>teadlikkuse suurendamine</w:t>
            </w:r>
          </w:p>
        </w:tc>
        <w:tc>
          <w:tcPr>
            <w:tcW w:w="2121" w:type="dxa"/>
            <w:vAlign w:val="center"/>
          </w:tcPr>
          <w:p w14:paraId="55B64B13" w14:textId="75D80C96" w:rsidR="00140EA6" w:rsidRPr="00192B78" w:rsidRDefault="00A06519" w:rsidP="008D3687">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192B78">
              <w:rPr>
                <w:color w:val="000000" w:themeColor="text1"/>
                <w:sz w:val="24"/>
                <w:szCs w:val="24"/>
              </w:rPr>
              <w:t>SE1, SE2</w:t>
            </w:r>
          </w:p>
        </w:tc>
      </w:tr>
      <w:tr w:rsidR="008D3687" w:rsidRPr="008D3687" w14:paraId="72613974"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E9D0B99" w14:textId="5302A027" w:rsidR="00140EA6" w:rsidRPr="00192B78" w:rsidRDefault="00140EA6" w:rsidP="00FD1B30">
            <w:pPr>
              <w:spacing w:before="40" w:after="40"/>
              <w:rPr>
                <w:b w:val="0"/>
                <w:bCs w:val="0"/>
                <w:color w:val="000000" w:themeColor="text1"/>
                <w:sz w:val="24"/>
                <w:szCs w:val="24"/>
              </w:rPr>
            </w:pPr>
            <w:r w:rsidRPr="00192B78">
              <w:rPr>
                <w:b w:val="0"/>
                <w:bCs w:val="0"/>
                <w:color w:val="000000" w:themeColor="text1"/>
                <w:sz w:val="24"/>
                <w:szCs w:val="24"/>
              </w:rPr>
              <w:t>7. Tööhõive suurendamine läbi elukestva õppe propageerimise ja toetamise ning</w:t>
            </w:r>
            <w:r w:rsidR="00791AE0" w:rsidRPr="00192B78">
              <w:rPr>
                <w:b w:val="0"/>
                <w:bCs w:val="0"/>
                <w:color w:val="000000" w:themeColor="text1"/>
                <w:sz w:val="24"/>
                <w:szCs w:val="24"/>
              </w:rPr>
              <w:t xml:space="preserve"> </w:t>
            </w:r>
            <w:r w:rsidRPr="00192B78">
              <w:rPr>
                <w:b w:val="0"/>
                <w:bCs w:val="0"/>
                <w:color w:val="000000" w:themeColor="text1"/>
                <w:sz w:val="24"/>
                <w:szCs w:val="24"/>
              </w:rPr>
              <w:t>ettevõtluse arendamise.</w:t>
            </w:r>
          </w:p>
        </w:tc>
        <w:tc>
          <w:tcPr>
            <w:tcW w:w="2121" w:type="dxa"/>
            <w:vAlign w:val="center"/>
          </w:tcPr>
          <w:p w14:paraId="09D2ADC6" w14:textId="69952E04" w:rsidR="00140EA6" w:rsidRPr="00192B78" w:rsidRDefault="00A06519" w:rsidP="008D3687">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192B78">
              <w:rPr>
                <w:color w:val="000000" w:themeColor="text1"/>
                <w:sz w:val="24"/>
                <w:szCs w:val="24"/>
              </w:rPr>
              <w:t>SE1, SE</w:t>
            </w:r>
          </w:p>
        </w:tc>
      </w:tr>
      <w:tr w:rsidR="008D3687" w:rsidRPr="008D3687" w14:paraId="3EF6C431" w14:textId="77777777" w:rsidTr="00BE1F22">
        <w:tc>
          <w:tcPr>
            <w:cnfStyle w:val="001000000000" w:firstRow="0" w:lastRow="0" w:firstColumn="1" w:lastColumn="0" w:oddVBand="0" w:evenVBand="0" w:oddHBand="0" w:evenHBand="0" w:firstRowFirstColumn="0" w:firstRowLastColumn="0" w:lastRowFirstColumn="0" w:lastRowLastColumn="0"/>
            <w:tcW w:w="6941" w:type="dxa"/>
          </w:tcPr>
          <w:p w14:paraId="40E42634" w14:textId="72F2B363" w:rsidR="00140EA6" w:rsidRPr="00192B78" w:rsidRDefault="00140EA6" w:rsidP="00FD1B30">
            <w:pPr>
              <w:spacing w:before="40" w:after="40"/>
              <w:rPr>
                <w:b w:val="0"/>
                <w:bCs w:val="0"/>
                <w:color w:val="000000" w:themeColor="text1"/>
                <w:sz w:val="24"/>
                <w:szCs w:val="24"/>
              </w:rPr>
            </w:pPr>
            <w:r w:rsidRPr="00192B78">
              <w:rPr>
                <w:b w:val="0"/>
                <w:bCs w:val="0"/>
                <w:color w:val="000000" w:themeColor="text1"/>
                <w:sz w:val="24"/>
                <w:szCs w:val="24"/>
              </w:rPr>
              <w:t>8. Kodanikualgatuse toetamine ja edendamine ning kogukondade kaasamine</w:t>
            </w:r>
            <w:r w:rsidR="00791AE0" w:rsidRPr="00192B78">
              <w:rPr>
                <w:b w:val="0"/>
                <w:bCs w:val="0"/>
                <w:color w:val="000000" w:themeColor="text1"/>
                <w:sz w:val="24"/>
                <w:szCs w:val="24"/>
              </w:rPr>
              <w:t xml:space="preserve"> </w:t>
            </w:r>
            <w:r w:rsidRPr="00192B78">
              <w:rPr>
                <w:b w:val="0"/>
                <w:bCs w:val="0"/>
                <w:color w:val="000000" w:themeColor="text1"/>
                <w:sz w:val="24"/>
                <w:szCs w:val="24"/>
              </w:rPr>
              <w:t>valla elu arendamisse.</w:t>
            </w:r>
          </w:p>
        </w:tc>
        <w:tc>
          <w:tcPr>
            <w:tcW w:w="2121" w:type="dxa"/>
            <w:vAlign w:val="center"/>
          </w:tcPr>
          <w:p w14:paraId="0B9A713C" w14:textId="6DB83C69" w:rsidR="00140EA6" w:rsidRPr="00192B78" w:rsidRDefault="00A06519" w:rsidP="008D3687">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192B78">
              <w:rPr>
                <w:color w:val="000000" w:themeColor="text1"/>
                <w:sz w:val="24"/>
                <w:szCs w:val="24"/>
              </w:rPr>
              <w:t>SE1</w:t>
            </w:r>
          </w:p>
        </w:tc>
      </w:tr>
      <w:tr w:rsidR="008D3687" w:rsidRPr="008D3687" w14:paraId="0F893903"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4B1EAEB" w14:textId="1E52F7B0" w:rsidR="00140EA6" w:rsidRPr="00192B78" w:rsidRDefault="00140EA6" w:rsidP="00FD1B30">
            <w:pPr>
              <w:spacing w:before="40" w:after="40"/>
              <w:rPr>
                <w:b w:val="0"/>
                <w:bCs w:val="0"/>
                <w:color w:val="000000" w:themeColor="text1"/>
                <w:sz w:val="24"/>
                <w:szCs w:val="24"/>
              </w:rPr>
            </w:pPr>
            <w:r w:rsidRPr="00192B78">
              <w:rPr>
                <w:b w:val="0"/>
                <w:bCs w:val="0"/>
                <w:color w:val="000000" w:themeColor="text1"/>
                <w:sz w:val="24"/>
                <w:szCs w:val="24"/>
              </w:rPr>
              <w:t>9. Valla haldusaparaadi kaasajastamine ning valla maine jätkuv eesmärgipärane kujundamine, sõprusomavalitsuste leidmine ning väliskoostöö arendamine.</w:t>
            </w:r>
          </w:p>
        </w:tc>
        <w:tc>
          <w:tcPr>
            <w:tcW w:w="2121" w:type="dxa"/>
            <w:vAlign w:val="center"/>
          </w:tcPr>
          <w:p w14:paraId="488E20B2" w14:textId="0B6B4CA3" w:rsidR="00140EA6" w:rsidRPr="00192B78" w:rsidRDefault="00A06519" w:rsidP="008D3687">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192B78">
              <w:rPr>
                <w:color w:val="000000" w:themeColor="text1"/>
                <w:sz w:val="24"/>
                <w:szCs w:val="24"/>
              </w:rPr>
              <w:t>SE1, SE3</w:t>
            </w:r>
          </w:p>
        </w:tc>
      </w:tr>
    </w:tbl>
    <w:p w14:paraId="3137082E" w14:textId="77777777" w:rsidR="00140EA6" w:rsidRDefault="00140EA6">
      <w:pPr>
        <w:rPr>
          <w:color w:val="538135" w:themeColor="accent6" w:themeShade="BF"/>
          <w:sz w:val="24"/>
          <w:szCs w:val="24"/>
        </w:rPr>
      </w:pPr>
    </w:p>
    <w:p w14:paraId="531880D1" w14:textId="77777777" w:rsidR="008D3687" w:rsidRDefault="008D3687">
      <w:pPr>
        <w:rPr>
          <w:rFonts w:cs="Times New Roman"/>
          <w:b/>
          <w:bCs/>
        </w:rPr>
      </w:pPr>
      <w:r>
        <w:rPr>
          <w:rFonts w:cs="Times New Roman"/>
          <w:b/>
          <w:bCs/>
        </w:rPr>
        <w:br w:type="page"/>
      </w:r>
    </w:p>
    <w:p w14:paraId="26613AF0" w14:textId="16E7BBB3" w:rsidR="00791AE0" w:rsidRPr="009B6163" w:rsidRDefault="00791AE0" w:rsidP="00791AE0">
      <w:pPr>
        <w:spacing w:line="252" w:lineRule="auto"/>
        <w:jc w:val="both"/>
        <w:rPr>
          <w:rFonts w:cs="Times New Roman"/>
        </w:rPr>
      </w:pPr>
      <w:r w:rsidRPr="00903DFD">
        <w:rPr>
          <w:rFonts w:cs="Times New Roman"/>
          <w:b/>
          <w:bCs/>
        </w:rPr>
        <w:lastRenderedPageBreak/>
        <w:t xml:space="preserve">Tabel </w:t>
      </w:r>
      <w:r>
        <w:rPr>
          <w:rFonts w:cs="Times New Roman"/>
          <w:b/>
          <w:bCs/>
        </w:rPr>
        <w:t>2</w:t>
      </w:r>
      <w:r w:rsidRPr="00903DFD">
        <w:rPr>
          <w:rFonts w:cs="Times New Roman"/>
          <w:b/>
          <w:bCs/>
        </w:rPr>
        <w:t>.</w:t>
      </w:r>
      <w:r>
        <w:rPr>
          <w:rFonts w:cs="Times New Roman"/>
        </w:rPr>
        <w:t xml:space="preserve"> </w:t>
      </w:r>
      <w:r>
        <w:rPr>
          <w:rFonts w:cs="Times New Roman"/>
        </w:rPr>
        <w:t xml:space="preserve">Põlva </w:t>
      </w:r>
      <w:r w:rsidRPr="00791AE0">
        <w:rPr>
          <w:rFonts w:cs="Times New Roman"/>
        </w:rPr>
        <w:t xml:space="preserve">valla </w:t>
      </w:r>
      <w:r w:rsidR="002D5062">
        <w:rPr>
          <w:rFonts w:cs="Times New Roman"/>
        </w:rPr>
        <w:t xml:space="preserve">arengukava </w:t>
      </w:r>
      <w:r w:rsidRPr="00791AE0">
        <w:rPr>
          <w:rFonts w:cs="Times New Roman"/>
        </w:rPr>
        <w:t>strateegilis</w:t>
      </w:r>
      <w:r>
        <w:rPr>
          <w:rFonts w:cs="Times New Roman"/>
        </w:rPr>
        <w:t>te</w:t>
      </w:r>
      <w:r w:rsidRPr="00791AE0">
        <w:rPr>
          <w:rFonts w:cs="Times New Roman"/>
        </w:rPr>
        <w:t xml:space="preserve"> </w:t>
      </w:r>
      <w:r>
        <w:rPr>
          <w:rFonts w:cs="Times New Roman"/>
        </w:rPr>
        <w:t>arengusuundade</w:t>
      </w:r>
      <w:r>
        <w:rPr>
          <w:rFonts w:cs="Times New Roman"/>
        </w:rPr>
        <w:t xml:space="preserve"> </w:t>
      </w:r>
      <w:r w:rsidRPr="00791AE0">
        <w:rPr>
          <w:rFonts w:cs="Times New Roman"/>
        </w:rPr>
        <w:t>ja maakonna</w:t>
      </w:r>
      <w:r>
        <w:rPr>
          <w:rFonts w:cs="Times New Roman"/>
        </w:rPr>
        <w:t xml:space="preserve"> </w:t>
      </w:r>
      <w:r w:rsidR="002D5062">
        <w:rPr>
          <w:rFonts w:cs="Times New Roman"/>
        </w:rPr>
        <w:t>arengustrateegia</w:t>
      </w:r>
      <w:r w:rsidRPr="00791AE0">
        <w:rPr>
          <w:rFonts w:cs="Times New Roman"/>
        </w:rPr>
        <w:t xml:space="preserve"> strateegiliste eesmärkide</w:t>
      </w:r>
      <w:r>
        <w:rPr>
          <w:rFonts w:cs="Times New Roman"/>
        </w:rPr>
        <w:t xml:space="preserve"> seosed.</w:t>
      </w:r>
    </w:p>
    <w:tbl>
      <w:tblPr>
        <w:tblStyle w:val="Ruuttabel4rhk6"/>
        <w:tblW w:w="0" w:type="auto"/>
        <w:tblLook w:val="04A0" w:firstRow="1" w:lastRow="0" w:firstColumn="1" w:lastColumn="0" w:noHBand="0" w:noVBand="1"/>
      </w:tblPr>
      <w:tblGrid>
        <w:gridCol w:w="6941"/>
        <w:gridCol w:w="2121"/>
      </w:tblGrid>
      <w:tr w:rsidR="00140EA6" w14:paraId="4F04D2DE" w14:textId="77777777" w:rsidTr="00BE1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FCDB58A" w14:textId="6A5835A0" w:rsidR="00140EA6" w:rsidRPr="002D5062" w:rsidRDefault="00140EA6" w:rsidP="008D3687">
            <w:pPr>
              <w:jc w:val="center"/>
              <w:rPr>
                <w:color w:val="538135" w:themeColor="accent6" w:themeShade="BF"/>
                <w:sz w:val="28"/>
                <w:szCs w:val="28"/>
              </w:rPr>
            </w:pPr>
            <w:r w:rsidRPr="002D5062">
              <w:rPr>
                <w:sz w:val="28"/>
                <w:szCs w:val="28"/>
              </w:rPr>
              <w:t>Põlva valla strateegilised arengusuunad</w:t>
            </w:r>
          </w:p>
        </w:tc>
        <w:tc>
          <w:tcPr>
            <w:tcW w:w="2121" w:type="dxa"/>
            <w:vAlign w:val="center"/>
          </w:tcPr>
          <w:p w14:paraId="31BA315F" w14:textId="30B01F80" w:rsidR="00140EA6" w:rsidRDefault="002D5062" w:rsidP="008D368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4"/>
                <w:szCs w:val="24"/>
              </w:rPr>
            </w:pPr>
            <w:r w:rsidRPr="002D5062">
              <w:rPr>
                <w:sz w:val="28"/>
                <w:szCs w:val="28"/>
              </w:rPr>
              <w:t>Maakonna vastav strateegiline eesmärk</w:t>
            </w:r>
          </w:p>
        </w:tc>
      </w:tr>
      <w:tr w:rsidR="00140EA6" w14:paraId="787D0FBF"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71A61D3" w14:textId="45615B76" w:rsidR="00140EA6" w:rsidRPr="00192B78" w:rsidRDefault="00140EA6" w:rsidP="00FD1B30">
            <w:pPr>
              <w:spacing w:before="40" w:after="40"/>
              <w:rPr>
                <w:b w:val="0"/>
                <w:bCs w:val="0"/>
                <w:sz w:val="24"/>
                <w:szCs w:val="24"/>
              </w:rPr>
            </w:pPr>
            <w:r w:rsidRPr="00192B78">
              <w:rPr>
                <w:b w:val="0"/>
                <w:bCs w:val="0"/>
                <w:sz w:val="24"/>
                <w:szCs w:val="24"/>
              </w:rPr>
              <w:t>1. Vald on hinnatud elukeskkond puhta loodusega ning tuntud rohelise mõttelaadi poolest.</w:t>
            </w:r>
          </w:p>
        </w:tc>
        <w:tc>
          <w:tcPr>
            <w:tcW w:w="2121" w:type="dxa"/>
            <w:vAlign w:val="center"/>
          </w:tcPr>
          <w:p w14:paraId="1A278098" w14:textId="6E4DE5C4" w:rsidR="00140EA6" w:rsidRPr="00192B78" w:rsidRDefault="00FD1B30" w:rsidP="008D3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SE3, SE6</w:t>
            </w:r>
          </w:p>
        </w:tc>
      </w:tr>
      <w:tr w:rsidR="00140EA6" w14:paraId="6BF619FF" w14:textId="77777777" w:rsidTr="00BE1F22">
        <w:tc>
          <w:tcPr>
            <w:cnfStyle w:val="001000000000" w:firstRow="0" w:lastRow="0" w:firstColumn="1" w:lastColumn="0" w:oddVBand="0" w:evenVBand="0" w:oddHBand="0" w:evenHBand="0" w:firstRowFirstColumn="0" w:firstRowLastColumn="0" w:lastRowFirstColumn="0" w:lastRowLastColumn="0"/>
            <w:tcW w:w="6941" w:type="dxa"/>
          </w:tcPr>
          <w:p w14:paraId="70D20BFE" w14:textId="42FE94B6" w:rsidR="00140EA6" w:rsidRPr="00192B78" w:rsidRDefault="00140EA6" w:rsidP="00FD1B30">
            <w:pPr>
              <w:spacing w:before="40" w:after="40"/>
              <w:rPr>
                <w:b w:val="0"/>
                <w:bCs w:val="0"/>
                <w:sz w:val="24"/>
                <w:szCs w:val="24"/>
              </w:rPr>
            </w:pPr>
            <w:r w:rsidRPr="00192B78">
              <w:rPr>
                <w:b w:val="0"/>
                <w:bCs w:val="0"/>
                <w:sz w:val="24"/>
                <w:szCs w:val="24"/>
              </w:rPr>
              <w:t>2. Vallas on arenenud ettevõtlus, mis tagab töökohad ja konkurentsivõimelised töötasud. Olemasolev infrastruktuur toetab ettevõtluse arengut.</w:t>
            </w:r>
          </w:p>
        </w:tc>
        <w:tc>
          <w:tcPr>
            <w:tcW w:w="2121" w:type="dxa"/>
            <w:vAlign w:val="center"/>
          </w:tcPr>
          <w:p w14:paraId="452307FC" w14:textId="28D8AEA6" w:rsidR="00140EA6" w:rsidRPr="00192B78" w:rsidRDefault="00FD1B30" w:rsidP="008D3687">
            <w:pPr>
              <w:jc w:val="cente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SE4, SE5, SE6</w:t>
            </w:r>
          </w:p>
        </w:tc>
      </w:tr>
      <w:tr w:rsidR="00140EA6" w14:paraId="35EBF658"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B504877" w14:textId="3B9BD199" w:rsidR="00140EA6" w:rsidRPr="00192B78" w:rsidRDefault="00140EA6" w:rsidP="00FD1B30">
            <w:pPr>
              <w:spacing w:before="40" w:after="40"/>
              <w:rPr>
                <w:b w:val="0"/>
                <w:bCs w:val="0"/>
                <w:sz w:val="24"/>
                <w:szCs w:val="24"/>
              </w:rPr>
            </w:pPr>
            <w:r w:rsidRPr="00192B78">
              <w:rPr>
                <w:b w:val="0"/>
                <w:bCs w:val="0"/>
                <w:sz w:val="24"/>
                <w:szCs w:val="24"/>
              </w:rPr>
              <w:t>3. Vald on sotsiaal-majanduslikult tasakaalustatult arenenud, jätkusuutlik ja innovaatiline, siin toimivad elujõulised peresuhted, sotsiaalne sidusus, kvaliteetne elukeskkond ja vajadustele vastavalt välja arendatud tervishoiusüsteem on alus sotsiaalsele turvatundele, heaolule ning kõrgele elatustasemele.</w:t>
            </w:r>
          </w:p>
        </w:tc>
        <w:tc>
          <w:tcPr>
            <w:tcW w:w="2121" w:type="dxa"/>
            <w:vAlign w:val="center"/>
          </w:tcPr>
          <w:p w14:paraId="31F8EEBF" w14:textId="4F721C66" w:rsidR="00140EA6" w:rsidRPr="00192B78" w:rsidRDefault="00FD1B30" w:rsidP="008D3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SE1, SE2</w:t>
            </w:r>
          </w:p>
        </w:tc>
      </w:tr>
      <w:tr w:rsidR="00140EA6" w14:paraId="54CDFAFF" w14:textId="77777777" w:rsidTr="00BE1F22">
        <w:tc>
          <w:tcPr>
            <w:cnfStyle w:val="001000000000" w:firstRow="0" w:lastRow="0" w:firstColumn="1" w:lastColumn="0" w:oddVBand="0" w:evenVBand="0" w:oddHBand="0" w:evenHBand="0" w:firstRowFirstColumn="0" w:firstRowLastColumn="0" w:lastRowFirstColumn="0" w:lastRowLastColumn="0"/>
            <w:tcW w:w="6941" w:type="dxa"/>
          </w:tcPr>
          <w:p w14:paraId="38566975" w14:textId="487DBFF4" w:rsidR="00140EA6" w:rsidRPr="00192B78" w:rsidRDefault="00140EA6" w:rsidP="00FD1B30">
            <w:pPr>
              <w:spacing w:before="40" w:after="40"/>
              <w:rPr>
                <w:b w:val="0"/>
                <w:bCs w:val="0"/>
                <w:sz w:val="24"/>
                <w:szCs w:val="24"/>
              </w:rPr>
            </w:pPr>
            <w:r w:rsidRPr="00192B78">
              <w:rPr>
                <w:b w:val="0"/>
                <w:bCs w:val="0"/>
                <w:sz w:val="24"/>
                <w:szCs w:val="24"/>
              </w:rPr>
              <w:t>4. Kõigile on kättesaadav kvaliteetne, õppija ja ühiskonna vajadusi arvestav haridus.</w:t>
            </w:r>
            <w:r w:rsidR="00FD1B30" w:rsidRPr="00192B78">
              <w:rPr>
                <w:b w:val="0"/>
                <w:bCs w:val="0"/>
                <w:sz w:val="24"/>
                <w:szCs w:val="24"/>
              </w:rPr>
              <w:t xml:space="preserve"> </w:t>
            </w:r>
            <w:r w:rsidRPr="00192B78">
              <w:rPr>
                <w:b w:val="0"/>
                <w:bCs w:val="0"/>
                <w:sz w:val="24"/>
                <w:szCs w:val="24"/>
              </w:rPr>
              <w:t>Haridusasutuste võrgustik on optimaalne ja kaasaegne. Huviharidus pakub mitmekülgseid võimalusi õppeks.</w:t>
            </w:r>
          </w:p>
        </w:tc>
        <w:tc>
          <w:tcPr>
            <w:tcW w:w="2121" w:type="dxa"/>
            <w:vAlign w:val="center"/>
          </w:tcPr>
          <w:p w14:paraId="66187F06" w14:textId="4BD6729B" w:rsidR="00140EA6" w:rsidRPr="00192B78" w:rsidRDefault="00FD1B30" w:rsidP="008D3687">
            <w:pPr>
              <w:jc w:val="cente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SE1</w:t>
            </w:r>
          </w:p>
        </w:tc>
      </w:tr>
      <w:tr w:rsidR="00140EA6" w14:paraId="5011D3A8"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7D22DF1A" w14:textId="013655B6" w:rsidR="00140EA6" w:rsidRPr="00192B78" w:rsidRDefault="00140EA6" w:rsidP="00FD1B30">
            <w:pPr>
              <w:spacing w:before="40" w:after="40"/>
              <w:rPr>
                <w:b w:val="0"/>
                <w:bCs w:val="0"/>
                <w:sz w:val="24"/>
                <w:szCs w:val="24"/>
              </w:rPr>
            </w:pPr>
            <w:r w:rsidRPr="00192B78">
              <w:rPr>
                <w:b w:val="0"/>
                <w:bCs w:val="0"/>
                <w:sz w:val="24"/>
                <w:szCs w:val="24"/>
              </w:rPr>
              <w:t>5. Valla külad on elujõulised, toimub aktiivne seltsitegevus ja areneb loomemajandus, loodud on omaalgatust ja loovust väärtustav keskkond. Tugevad kogukonnad kujundavad oma elukeskkonda, hoiavad omakultuuri, talletavad ja kannavad edasi rahvakultuuripärandit. Loodud on soodsad tingimused elujõulise, avatud ja mitmekülgse kultuuritegevuse arenguks, selles osalemiseks ning nautimiseks.</w:t>
            </w:r>
          </w:p>
        </w:tc>
        <w:tc>
          <w:tcPr>
            <w:tcW w:w="2121" w:type="dxa"/>
            <w:vAlign w:val="center"/>
          </w:tcPr>
          <w:p w14:paraId="3DD5D9D0" w14:textId="1709A05B" w:rsidR="00140EA6" w:rsidRPr="00192B78" w:rsidRDefault="00FD1B30" w:rsidP="008D3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SE1, SE3</w:t>
            </w:r>
          </w:p>
        </w:tc>
      </w:tr>
      <w:tr w:rsidR="00140EA6" w14:paraId="0737C55E" w14:textId="77777777" w:rsidTr="00BE1F22">
        <w:tc>
          <w:tcPr>
            <w:cnfStyle w:val="001000000000" w:firstRow="0" w:lastRow="0" w:firstColumn="1" w:lastColumn="0" w:oddVBand="0" w:evenVBand="0" w:oddHBand="0" w:evenHBand="0" w:firstRowFirstColumn="0" w:firstRowLastColumn="0" w:lastRowFirstColumn="0" w:lastRowLastColumn="0"/>
            <w:tcW w:w="6941" w:type="dxa"/>
          </w:tcPr>
          <w:p w14:paraId="56F1BEBA" w14:textId="1C82DF51" w:rsidR="00140EA6" w:rsidRPr="00192B78" w:rsidRDefault="00140EA6" w:rsidP="00FD1B30">
            <w:pPr>
              <w:spacing w:before="40" w:after="40"/>
              <w:rPr>
                <w:b w:val="0"/>
                <w:bCs w:val="0"/>
                <w:sz w:val="24"/>
                <w:szCs w:val="24"/>
              </w:rPr>
            </w:pPr>
            <w:r w:rsidRPr="00192B78">
              <w:rPr>
                <w:b w:val="0"/>
                <w:bCs w:val="0"/>
                <w:sz w:val="24"/>
                <w:szCs w:val="24"/>
              </w:rPr>
              <w:t>6. Valla elanikkond kasutab terviseradasid, spordi- ja mänguväljakuid aktiivseks puhkuseks. Olemasolevad spordirajatised on baasiks rohketele spordiklubidele ja harrastussportlastele. Valla spordi- ja puhkerajatised on avatud kasutamiseks kõigile ning tuntud Eestis ja ka välismaal.</w:t>
            </w:r>
          </w:p>
        </w:tc>
        <w:tc>
          <w:tcPr>
            <w:tcW w:w="2121" w:type="dxa"/>
            <w:vAlign w:val="center"/>
          </w:tcPr>
          <w:p w14:paraId="132ED897" w14:textId="43397CC4" w:rsidR="00140EA6" w:rsidRPr="00192B78" w:rsidRDefault="00FD1B30" w:rsidP="008D3687">
            <w:pPr>
              <w:jc w:val="cente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SE1</w:t>
            </w:r>
          </w:p>
        </w:tc>
      </w:tr>
      <w:tr w:rsidR="00140EA6" w14:paraId="453C7E67"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19B5695" w14:textId="63BDE2BE" w:rsidR="00140EA6" w:rsidRPr="00192B78" w:rsidRDefault="00140EA6" w:rsidP="00FD1B30">
            <w:pPr>
              <w:spacing w:before="40" w:after="40"/>
              <w:rPr>
                <w:b w:val="0"/>
                <w:bCs w:val="0"/>
                <w:sz w:val="24"/>
                <w:szCs w:val="24"/>
              </w:rPr>
            </w:pPr>
            <w:r w:rsidRPr="00192B78">
              <w:rPr>
                <w:b w:val="0"/>
                <w:bCs w:val="0"/>
                <w:sz w:val="24"/>
                <w:szCs w:val="24"/>
              </w:rPr>
              <w:t>7. Saavutatud on valla järjepidev ja jätkusuutlik areng. Arengu kavandamisse on kaasatud kogukond. Valla juhtimine on korraldatud läbi kvaliteetse ja läbipaistva valitsemise, mis tagab kõrge haldussuutlikkuse.</w:t>
            </w:r>
          </w:p>
        </w:tc>
        <w:tc>
          <w:tcPr>
            <w:tcW w:w="2121" w:type="dxa"/>
            <w:vAlign w:val="center"/>
          </w:tcPr>
          <w:p w14:paraId="3F5544C8" w14:textId="7B35A6FD" w:rsidR="00140EA6" w:rsidRPr="00192B78" w:rsidRDefault="00FD1B30" w:rsidP="008D3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SE1</w:t>
            </w:r>
          </w:p>
        </w:tc>
      </w:tr>
    </w:tbl>
    <w:p w14:paraId="560A2826" w14:textId="77777777" w:rsidR="00140EA6" w:rsidRDefault="00140EA6">
      <w:pPr>
        <w:rPr>
          <w:color w:val="538135" w:themeColor="accent6" w:themeShade="BF"/>
          <w:sz w:val="24"/>
          <w:szCs w:val="24"/>
        </w:rPr>
      </w:pPr>
    </w:p>
    <w:p w14:paraId="19F960B7" w14:textId="77777777" w:rsidR="008D3687" w:rsidRDefault="008D3687">
      <w:pPr>
        <w:rPr>
          <w:rFonts w:cs="Times New Roman"/>
          <w:b/>
          <w:bCs/>
        </w:rPr>
      </w:pPr>
      <w:r>
        <w:rPr>
          <w:rFonts w:cs="Times New Roman"/>
          <w:b/>
          <w:bCs/>
        </w:rPr>
        <w:br w:type="page"/>
      </w:r>
    </w:p>
    <w:p w14:paraId="347580C9" w14:textId="75AA1BCC" w:rsidR="00791AE0" w:rsidRPr="009B6163" w:rsidRDefault="00791AE0" w:rsidP="00791AE0">
      <w:pPr>
        <w:spacing w:line="252" w:lineRule="auto"/>
        <w:jc w:val="both"/>
        <w:rPr>
          <w:rFonts w:cs="Times New Roman"/>
        </w:rPr>
      </w:pPr>
      <w:r w:rsidRPr="00903DFD">
        <w:rPr>
          <w:rFonts w:cs="Times New Roman"/>
          <w:b/>
          <w:bCs/>
        </w:rPr>
        <w:lastRenderedPageBreak/>
        <w:t xml:space="preserve">Tabel </w:t>
      </w:r>
      <w:r>
        <w:rPr>
          <w:rFonts w:cs="Times New Roman"/>
          <w:b/>
          <w:bCs/>
        </w:rPr>
        <w:t>3</w:t>
      </w:r>
      <w:r w:rsidRPr="00903DFD">
        <w:rPr>
          <w:rFonts w:cs="Times New Roman"/>
          <w:b/>
          <w:bCs/>
        </w:rPr>
        <w:t>.</w:t>
      </w:r>
      <w:r>
        <w:rPr>
          <w:rFonts w:cs="Times New Roman"/>
        </w:rPr>
        <w:t xml:space="preserve"> </w:t>
      </w:r>
      <w:bookmarkStart w:id="1" w:name="_Hlk124857010"/>
      <w:r>
        <w:rPr>
          <w:rFonts w:cs="Times New Roman"/>
        </w:rPr>
        <w:t>Räpina</w:t>
      </w:r>
      <w:r w:rsidRPr="00791AE0">
        <w:rPr>
          <w:rFonts w:cs="Times New Roman"/>
        </w:rPr>
        <w:t xml:space="preserve"> valla</w:t>
      </w:r>
      <w:r w:rsidR="002D5062">
        <w:rPr>
          <w:rFonts w:cs="Times New Roman"/>
        </w:rPr>
        <w:t xml:space="preserve"> arengukava</w:t>
      </w:r>
      <w:r w:rsidRPr="00791AE0">
        <w:rPr>
          <w:rFonts w:cs="Times New Roman"/>
        </w:rPr>
        <w:t xml:space="preserve"> </w:t>
      </w:r>
      <w:r>
        <w:rPr>
          <w:rFonts w:cs="Times New Roman"/>
        </w:rPr>
        <w:t>üld</w:t>
      </w:r>
      <w:r w:rsidRPr="00791AE0">
        <w:rPr>
          <w:rFonts w:cs="Times New Roman"/>
        </w:rPr>
        <w:t>eesmär</w:t>
      </w:r>
      <w:r>
        <w:rPr>
          <w:rFonts w:cs="Times New Roman"/>
        </w:rPr>
        <w:t xml:space="preserve">kide </w:t>
      </w:r>
      <w:r w:rsidRPr="00791AE0">
        <w:rPr>
          <w:rFonts w:cs="Times New Roman"/>
        </w:rPr>
        <w:t>ja maakonna</w:t>
      </w:r>
      <w:r>
        <w:rPr>
          <w:rFonts w:cs="Times New Roman"/>
        </w:rPr>
        <w:t xml:space="preserve"> </w:t>
      </w:r>
      <w:r w:rsidR="002D5062">
        <w:rPr>
          <w:rFonts w:cs="Times New Roman"/>
        </w:rPr>
        <w:t>arengustrateegia</w:t>
      </w:r>
      <w:r w:rsidRPr="00791AE0">
        <w:rPr>
          <w:rFonts w:cs="Times New Roman"/>
        </w:rPr>
        <w:t xml:space="preserve"> strateegiliste eesmärkide</w:t>
      </w:r>
      <w:r>
        <w:rPr>
          <w:rFonts w:cs="Times New Roman"/>
        </w:rPr>
        <w:t xml:space="preserve"> seosed.</w:t>
      </w:r>
      <w:bookmarkEnd w:id="1"/>
    </w:p>
    <w:tbl>
      <w:tblPr>
        <w:tblStyle w:val="Ruuttabel4rhk6"/>
        <w:tblW w:w="0" w:type="auto"/>
        <w:tblLook w:val="04A0" w:firstRow="1" w:lastRow="0" w:firstColumn="1" w:lastColumn="0" w:noHBand="0" w:noVBand="1"/>
      </w:tblPr>
      <w:tblGrid>
        <w:gridCol w:w="6941"/>
        <w:gridCol w:w="2121"/>
      </w:tblGrid>
      <w:tr w:rsidR="00140EA6" w14:paraId="7BE2EC00" w14:textId="77777777" w:rsidTr="00BE1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AADECD7" w14:textId="0F000CD9" w:rsidR="00140EA6" w:rsidRPr="00791AE0" w:rsidRDefault="00140EA6" w:rsidP="008D3687">
            <w:pPr>
              <w:jc w:val="center"/>
              <w:rPr>
                <w:sz w:val="28"/>
                <w:szCs w:val="28"/>
              </w:rPr>
            </w:pPr>
            <w:r w:rsidRPr="00791AE0">
              <w:rPr>
                <w:sz w:val="28"/>
                <w:szCs w:val="28"/>
              </w:rPr>
              <w:t>Räpina valla üldeesmärgid</w:t>
            </w:r>
          </w:p>
        </w:tc>
        <w:tc>
          <w:tcPr>
            <w:tcW w:w="2121" w:type="dxa"/>
            <w:vAlign w:val="center"/>
          </w:tcPr>
          <w:p w14:paraId="7D63E206" w14:textId="61E4921D" w:rsidR="00140EA6" w:rsidRPr="00791AE0" w:rsidRDefault="002D5062" w:rsidP="008D3687">
            <w:pPr>
              <w:jc w:val="center"/>
              <w:cnfStyle w:val="100000000000" w:firstRow="1" w:lastRow="0" w:firstColumn="0" w:lastColumn="0" w:oddVBand="0" w:evenVBand="0" w:oddHBand="0" w:evenHBand="0" w:firstRowFirstColumn="0" w:firstRowLastColumn="0" w:lastRowFirstColumn="0" w:lastRowLastColumn="0"/>
              <w:rPr>
                <w:sz w:val="28"/>
                <w:szCs w:val="28"/>
              </w:rPr>
            </w:pPr>
            <w:r w:rsidRPr="002D5062">
              <w:rPr>
                <w:sz w:val="28"/>
                <w:szCs w:val="28"/>
              </w:rPr>
              <w:t>Maakonna vastav strateegiline eesmärk</w:t>
            </w:r>
          </w:p>
        </w:tc>
      </w:tr>
      <w:tr w:rsidR="00140EA6" w14:paraId="6FE2E01F"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B84A486" w14:textId="4AC04592" w:rsidR="00140EA6" w:rsidRPr="00192B78" w:rsidRDefault="00140EA6" w:rsidP="00FD1B30">
            <w:pPr>
              <w:spacing w:before="40" w:after="40"/>
              <w:rPr>
                <w:b w:val="0"/>
                <w:bCs w:val="0"/>
                <w:sz w:val="24"/>
                <w:szCs w:val="24"/>
              </w:rPr>
            </w:pPr>
            <w:r w:rsidRPr="00192B78">
              <w:rPr>
                <w:b w:val="0"/>
                <w:bCs w:val="0"/>
                <w:sz w:val="24"/>
                <w:szCs w:val="24"/>
              </w:rPr>
              <w:t>1. Haridusasutused vastavad kaasaja nõuetele ja on konkurentsivõimelised.</w:t>
            </w:r>
            <w:r w:rsidR="00791AE0" w:rsidRPr="00192B78">
              <w:rPr>
                <w:b w:val="0"/>
                <w:bCs w:val="0"/>
                <w:sz w:val="24"/>
                <w:szCs w:val="24"/>
              </w:rPr>
              <w:t xml:space="preserve"> </w:t>
            </w:r>
            <w:r w:rsidRPr="00192B78">
              <w:rPr>
                <w:b w:val="0"/>
                <w:bCs w:val="0"/>
                <w:sz w:val="24"/>
                <w:szCs w:val="24"/>
              </w:rPr>
              <w:t>Haridusasutuste õpikeskkonnad toetavad kvaliteetset ja tulevikku suunatud hariduse kättesaadavust.</w:t>
            </w:r>
          </w:p>
        </w:tc>
        <w:tc>
          <w:tcPr>
            <w:tcW w:w="2121" w:type="dxa"/>
            <w:vAlign w:val="center"/>
          </w:tcPr>
          <w:p w14:paraId="3AA89181" w14:textId="314E86A1" w:rsidR="00140EA6" w:rsidRPr="00192B78" w:rsidRDefault="00F37C3C" w:rsidP="008D3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SE1</w:t>
            </w:r>
          </w:p>
        </w:tc>
      </w:tr>
      <w:tr w:rsidR="00140EA6" w14:paraId="09358207" w14:textId="77777777" w:rsidTr="00BE1F22">
        <w:tc>
          <w:tcPr>
            <w:cnfStyle w:val="001000000000" w:firstRow="0" w:lastRow="0" w:firstColumn="1" w:lastColumn="0" w:oddVBand="0" w:evenVBand="0" w:oddHBand="0" w:evenHBand="0" w:firstRowFirstColumn="0" w:firstRowLastColumn="0" w:lastRowFirstColumn="0" w:lastRowLastColumn="0"/>
            <w:tcW w:w="6941" w:type="dxa"/>
          </w:tcPr>
          <w:p w14:paraId="6DBCF26E" w14:textId="042EEFF7" w:rsidR="00140EA6" w:rsidRPr="00192B78" w:rsidRDefault="00140EA6" w:rsidP="00FD1B30">
            <w:pPr>
              <w:spacing w:before="40" w:after="40"/>
              <w:rPr>
                <w:b w:val="0"/>
                <w:bCs w:val="0"/>
                <w:sz w:val="24"/>
                <w:szCs w:val="24"/>
              </w:rPr>
            </w:pPr>
            <w:r w:rsidRPr="00192B78">
              <w:rPr>
                <w:b w:val="0"/>
                <w:bCs w:val="0"/>
                <w:sz w:val="24"/>
                <w:szCs w:val="24"/>
              </w:rPr>
              <w:t>2. Kõigil on võimalus tegeleda huviharidusega või huvitegevusega. Noorsootöö ja noorsooliikumine on aktiivne, järjepidev ning kõigile kättesaadav.</w:t>
            </w:r>
          </w:p>
        </w:tc>
        <w:tc>
          <w:tcPr>
            <w:tcW w:w="2121" w:type="dxa"/>
            <w:vAlign w:val="center"/>
          </w:tcPr>
          <w:p w14:paraId="04AD58D4" w14:textId="49C59594" w:rsidR="00140EA6" w:rsidRPr="00192B78" w:rsidRDefault="00F37C3C" w:rsidP="008D3687">
            <w:pPr>
              <w:jc w:val="cente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SE1</w:t>
            </w:r>
          </w:p>
        </w:tc>
      </w:tr>
      <w:tr w:rsidR="00140EA6" w14:paraId="67B62D82"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64CA052E" w14:textId="1095E6D5" w:rsidR="00140EA6" w:rsidRPr="00192B78" w:rsidRDefault="00140EA6" w:rsidP="00FD1B30">
            <w:pPr>
              <w:spacing w:before="40" w:after="40"/>
              <w:rPr>
                <w:b w:val="0"/>
                <w:bCs w:val="0"/>
                <w:sz w:val="24"/>
                <w:szCs w:val="24"/>
              </w:rPr>
            </w:pPr>
            <w:r w:rsidRPr="00192B78">
              <w:rPr>
                <w:b w:val="0"/>
                <w:bCs w:val="0"/>
                <w:sz w:val="24"/>
                <w:szCs w:val="24"/>
              </w:rPr>
              <w:t>3. Valla kultuuri- ja seltsielu keskused ning raamatukogude võrgustik vastavad vallaelanike ja külaliste ootustele.</w:t>
            </w:r>
            <w:r w:rsidR="00791AE0" w:rsidRPr="00192B78">
              <w:rPr>
                <w:b w:val="0"/>
                <w:bCs w:val="0"/>
                <w:sz w:val="24"/>
                <w:szCs w:val="24"/>
              </w:rPr>
              <w:t xml:space="preserve"> </w:t>
            </w:r>
            <w:r w:rsidRPr="00192B78">
              <w:rPr>
                <w:b w:val="0"/>
                <w:bCs w:val="0"/>
                <w:sz w:val="24"/>
                <w:szCs w:val="24"/>
              </w:rPr>
              <w:t>Traditsioonilised ühisüritused on atraktiivsed, kohalikku identiteeti toetavad ja populaarsed nii vallaelanikele kui külalistele.</w:t>
            </w:r>
            <w:r w:rsidR="00791AE0" w:rsidRPr="00192B78">
              <w:rPr>
                <w:b w:val="0"/>
                <w:bCs w:val="0"/>
                <w:sz w:val="24"/>
                <w:szCs w:val="24"/>
              </w:rPr>
              <w:t xml:space="preserve"> </w:t>
            </w:r>
            <w:r w:rsidRPr="00192B78">
              <w:rPr>
                <w:b w:val="0"/>
                <w:bCs w:val="0"/>
                <w:sz w:val="24"/>
                <w:szCs w:val="24"/>
              </w:rPr>
              <w:t>Vallaelanikele on tagatud mitmekesised avalikud sportimise, puhke ja vabaaja veetmise võimalused.</w:t>
            </w:r>
          </w:p>
        </w:tc>
        <w:tc>
          <w:tcPr>
            <w:tcW w:w="2121" w:type="dxa"/>
            <w:vAlign w:val="center"/>
          </w:tcPr>
          <w:p w14:paraId="3535B038" w14:textId="5B2411DC" w:rsidR="00140EA6" w:rsidRPr="00192B78" w:rsidRDefault="00F37C3C" w:rsidP="008D3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SE1, SE3</w:t>
            </w:r>
          </w:p>
        </w:tc>
      </w:tr>
      <w:tr w:rsidR="00140EA6" w14:paraId="57DF08B1" w14:textId="77777777" w:rsidTr="00BE1F22">
        <w:tc>
          <w:tcPr>
            <w:cnfStyle w:val="001000000000" w:firstRow="0" w:lastRow="0" w:firstColumn="1" w:lastColumn="0" w:oddVBand="0" w:evenVBand="0" w:oddHBand="0" w:evenHBand="0" w:firstRowFirstColumn="0" w:firstRowLastColumn="0" w:lastRowFirstColumn="0" w:lastRowLastColumn="0"/>
            <w:tcW w:w="6941" w:type="dxa"/>
          </w:tcPr>
          <w:p w14:paraId="52FCB3E9" w14:textId="0884F8B4" w:rsidR="00140EA6" w:rsidRPr="00192B78" w:rsidRDefault="00140EA6" w:rsidP="00FD1B30">
            <w:pPr>
              <w:spacing w:before="40" w:after="40"/>
              <w:rPr>
                <w:b w:val="0"/>
                <w:bCs w:val="0"/>
                <w:sz w:val="24"/>
                <w:szCs w:val="24"/>
              </w:rPr>
            </w:pPr>
            <w:r w:rsidRPr="00192B78">
              <w:rPr>
                <w:b w:val="0"/>
                <w:bCs w:val="0"/>
                <w:sz w:val="24"/>
                <w:szCs w:val="24"/>
              </w:rPr>
              <w:t>4. Kogukonnad on kohaliku elu arendajad ja vallale igakülgseks partneriks.</w:t>
            </w:r>
          </w:p>
        </w:tc>
        <w:tc>
          <w:tcPr>
            <w:tcW w:w="2121" w:type="dxa"/>
            <w:vAlign w:val="center"/>
          </w:tcPr>
          <w:p w14:paraId="438EC9C3" w14:textId="6D31536E" w:rsidR="00140EA6" w:rsidRPr="00192B78" w:rsidRDefault="00F37C3C" w:rsidP="008D3687">
            <w:pPr>
              <w:jc w:val="cente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SE1, SE3</w:t>
            </w:r>
          </w:p>
        </w:tc>
      </w:tr>
      <w:tr w:rsidR="00140EA6" w14:paraId="70D3F971"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25D59C0" w14:textId="6A99D11C" w:rsidR="00140EA6" w:rsidRPr="00192B78" w:rsidRDefault="00140EA6" w:rsidP="00FD1B30">
            <w:pPr>
              <w:spacing w:before="40" w:after="40"/>
              <w:rPr>
                <w:b w:val="0"/>
                <w:bCs w:val="0"/>
                <w:sz w:val="24"/>
                <w:szCs w:val="24"/>
              </w:rPr>
            </w:pPr>
            <w:r w:rsidRPr="00192B78">
              <w:rPr>
                <w:b w:val="0"/>
                <w:bCs w:val="0"/>
                <w:sz w:val="24"/>
                <w:szCs w:val="24"/>
              </w:rPr>
              <w:t>5. Ettevõtlikkus ja ettevõtluskeskkond on väärtustunud, avalikud tugitaristud ettevõtlusaladel on kaasajastatud.</w:t>
            </w:r>
            <w:r w:rsidR="00791AE0" w:rsidRPr="00192B78">
              <w:rPr>
                <w:b w:val="0"/>
                <w:bCs w:val="0"/>
                <w:sz w:val="24"/>
                <w:szCs w:val="24"/>
              </w:rPr>
              <w:t xml:space="preserve"> </w:t>
            </w:r>
            <w:r w:rsidRPr="00192B78">
              <w:rPr>
                <w:b w:val="0"/>
                <w:bCs w:val="0"/>
                <w:sz w:val="24"/>
                <w:szCs w:val="24"/>
              </w:rPr>
              <w:t>Turist on huvitatud piirkonnas viibimisest ja hindab kõrgelt pakutavaid teenuseid.</w:t>
            </w:r>
          </w:p>
        </w:tc>
        <w:tc>
          <w:tcPr>
            <w:tcW w:w="2121" w:type="dxa"/>
            <w:vAlign w:val="center"/>
          </w:tcPr>
          <w:p w14:paraId="7248E05B" w14:textId="63E5BA30" w:rsidR="00140EA6" w:rsidRPr="00192B78" w:rsidRDefault="00F37C3C" w:rsidP="008D3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SE5, SE6</w:t>
            </w:r>
          </w:p>
        </w:tc>
      </w:tr>
      <w:tr w:rsidR="00140EA6" w14:paraId="510C7937" w14:textId="77777777" w:rsidTr="00BE1F22">
        <w:tc>
          <w:tcPr>
            <w:cnfStyle w:val="001000000000" w:firstRow="0" w:lastRow="0" w:firstColumn="1" w:lastColumn="0" w:oddVBand="0" w:evenVBand="0" w:oddHBand="0" w:evenHBand="0" w:firstRowFirstColumn="0" w:firstRowLastColumn="0" w:lastRowFirstColumn="0" w:lastRowLastColumn="0"/>
            <w:tcW w:w="6941" w:type="dxa"/>
          </w:tcPr>
          <w:p w14:paraId="0F1563F5" w14:textId="3C4AB185" w:rsidR="00140EA6" w:rsidRPr="00192B78" w:rsidRDefault="00140EA6" w:rsidP="00FD1B30">
            <w:pPr>
              <w:spacing w:before="40" w:after="40"/>
              <w:rPr>
                <w:b w:val="0"/>
                <w:bCs w:val="0"/>
                <w:sz w:val="24"/>
                <w:szCs w:val="24"/>
              </w:rPr>
            </w:pPr>
            <w:r w:rsidRPr="00192B78">
              <w:rPr>
                <w:b w:val="0"/>
                <w:bCs w:val="0"/>
                <w:sz w:val="24"/>
                <w:szCs w:val="24"/>
              </w:rPr>
              <w:t xml:space="preserve">6. </w:t>
            </w:r>
            <w:r w:rsidRPr="00192B78">
              <w:rPr>
                <w:b w:val="0"/>
                <w:bCs w:val="0"/>
                <w:i/>
                <w:iCs/>
                <w:sz w:val="24"/>
                <w:szCs w:val="24"/>
              </w:rPr>
              <w:t>Sotsiaalhoolekande- ja raviteenuste, rahatervise ja sotsiaaleluruumide arendamine ning laste ja perede heaolu tagamine.</w:t>
            </w:r>
          </w:p>
        </w:tc>
        <w:tc>
          <w:tcPr>
            <w:tcW w:w="2121" w:type="dxa"/>
            <w:vAlign w:val="center"/>
          </w:tcPr>
          <w:p w14:paraId="42A863E1" w14:textId="56C5BF36" w:rsidR="00140EA6" w:rsidRPr="00192B78" w:rsidRDefault="00F37C3C" w:rsidP="008D3687">
            <w:pPr>
              <w:jc w:val="cente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SE2</w:t>
            </w:r>
          </w:p>
        </w:tc>
      </w:tr>
      <w:tr w:rsidR="00140EA6" w14:paraId="13FF4CED" w14:textId="77777777" w:rsidTr="00BE1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669321F2" w14:textId="02DB75A8" w:rsidR="00140EA6" w:rsidRPr="00192B78" w:rsidRDefault="00140EA6" w:rsidP="00FD1B30">
            <w:pPr>
              <w:spacing w:before="40" w:after="40"/>
              <w:rPr>
                <w:b w:val="0"/>
                <w:bCs w:val="0"/>
                <w:sz w:val="24"/>
                <w:szCs w:val="24"/>
              </w:rPr>
            </w:pPr>
            <w:r w:rsidRPr="00192B78">
              <w:rPr>
                <w:b w:val="0"/>
                <w:bCs w:val="0"/>
                <w:sz w:val="24"/>
                <w:szCs w:val="24"/>
              </w:rPr>
              <w:t>7. Elanikud on keskkonnateadlikud ja hindavad puhast looduskeskkonda.</w:t>
            </w:r>
            <w:r w:rsidR="00791AE0" w:rsidRPr="00192B78">
              <w:rPr>
                <w:b w:val="0"/>
                <w:bCs w:val="0"/>
                <w:sz w:val="24"/>
                <w:szCs w:val="24"/>
              </w:rPr>
              <w:t xml:space="preserve"> </w:t>
            </w:r>
            <w:r w:rsidRPr="00192B78">
              <w:rPr>
                <w:b w:val="0"/>
                <w:bCs w:val="0"/>
                <w:sz w:val="24"/>
                <w:szCs w:val="24"/>
              </w:rPr>
              <w:t>Tagatud on puhas joogivesi ning võimalused reo- ja sademevee nõuetekohaseks käitlemiseks. Energiamajandus on säästlik, hooned ja transpordivahendid energiatõhusad.</w:t>
            </w:r>
            <w:r w:rsidR="00791AE0" w:rsidRPr="00192B78">
              <w:rPr>
                <w:b w:val="0"/>
                <w:bCs w:val="0"/>
                <w:sz w:val="24"/>
                <w:szCs w:val="24"/>
              </w:rPr>
              <w:t xml:space="preserve"> </w:t>
            </w:r>
            <w:r w:rsidRPr="00192B78">
              <w:rPr>
                <w:b w:val="0"/>
                <w:bCs w:val="0"/>
                <w:sz w:val="24"/>
                <w:szCs w:val="24"/>
              </w:rPr>
              <w:t>Ühistranspordivõrk tagab inimestele vajalikud liikumisvõimalused.</w:t>
            </w:r>
          </w:p>
        </w:tc>
        <w:tc>
          <w:tcPr>
            <w:tcW w:w="2121" w:type="dxa"/>
            <w:vAlign w:val="center"/>
          </w:tcPr>
          <w:p w14:paraId="358A417E" w14:textId="58E57438" w:rsidR="00140EA6" w:rsidRPr="00192B78" w:rsidRDefault="00F37C3C" w:rsidP="008D3687">
            <w:pPr>
              <w:jc w:val="cente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SE4, SE6</w:t>
            </w:r>
          </w:p>
        </w:tc>
      </w:tr>
    </w:tbl>
    <w:p w14:paraId="3DCB4855" w14:textId="77777777" w:rsidR="00140EA6" w:rsidRDefault="00140EA6">
      <w:pPr>
        <w:rPr>
          <w:color w:val="538135" w:themeColor="accent6" w:themeShade="BF"/>
          <w:sz w:val="24"/>
          <w:szCs w:val="24"/>
        </w:rPr>
      </w:pPr>
    </w:p>
    <w:p w14:paraId="4F226C79" w14:textId="7331166E" w:rsidR="00584480" w:rsidRPr="00584480" w:rsidRDefault="00584480" w:rsidP="00584480">
      <w:pPr>
        <w:spacing w:after="0" w:line="252" w:lineRule="auto"/>
        <w:jc w:val="both"/>
        <w:rPr>
          <w:color w:val="538135" w:themeColor="accent6" w:themeShade="BF"/>
          <w:sz w:val="32"/>
          <w:szCs w:val="32"/>
        </w:rPr>
      </w:pPr>
      <w:r w:rsidRPr="00584480">
        <w:rPr>
          <w:color w:val="538135" w:themeColor="accent6" w:themeShade="BF"/>
          <w:sz w:val="32"/>
          <w:szCs w:val="32"/>
        </w:rPr>
        <w:t>Maakonnatasandi arengudokumendid</w:t>
      </w:r>
    </w:p>
    <w:p w14:paraId="308806BA" w14:textId="77777777" w:rsidR="00584480" w:rsidRDefault="00584480" w:rsidP="00584480">
      <w:pPr>
        <w:spacing w:after="0" w:line="252" w:lineRule="auto"/>
        <w:jc w:val="both"/>
        <w:rPr>
          <w:color w:val="538135" w:themeColor="accent6" w:themeShade="BF"/>
          <w:sz w:val="24"/>
          <w:szCs w:val="24"/>
        </w:rPr>
      </w:pPr>
    </w:p>
    <w:p w14:paraId="7820995B" w14:textId="76A845BB" w:rsidR="00584480" w:rsidRPr="00584480" w:rsidRDefault="00584480" w:rsidP="00584480">
      <w:pPr>
        <w:spacing w:after="0" w:line="252" w:lineRule="auto"/>
        <w:jc w:val="both"/>
        <w:rPr>
          <w:rFonts w:cs="Times New Roman"/>
          <w:sz w:val="28"/>
          <w:szCs w:val="28"/>
          <w:u w:val="single"/>
        </w:rPr>
      </w:pPr>
      <w:r w:rsidRPr="00584480">
        <w:rPr>
          <w:color w:val="538135" w:themeColor="accent6" w:themeShade="BF"/>
          <w:sz w:val="28"/>
          <w:szCs w:val="28"/>
        </w:rPr>
        <w:t>Põlva maakonnaplaneering 2030+</w:t>
      </w:r>
    </w:p>
    <w:p w14:paraId="15A839FD" w14:textId="77777777" w:rsidR="00584480" w:rsidRPr="004B2480" w:rsidRDefault="00584480" w:rsidP="00584480">
      <w:pPr>
        <w:spacing w:after="0" w:line="252" w:lineRule="auto"/>
        <w:jc w:val="both"/>
        <w:rPr>
          <w:rFonts w:cs="Times New Roman"/>
          <w:highlight w:val="yellow"/>
        </w:rPr>
      </w:pPr>
    </w:p>
    <w:p w14:paraId="71C5512F" w14:textId="77777777" w:rsidR="00584480" w:rsidRPr="007E1305" w:rsidRDefault="00584480" w:rsidP="00F02148">
      <w:pPr>
        <w:spacing w:line="252" w:lineRule="auto"/>
        <w:jc w:val="both"/>
        <w:rPr>
          <w:rFonts w:cs="Times New Roman"/>
        </w:rPr>
      </w:pPr>
      <w:r w:rsidRPr="007E1305">
        <w:rPr>
          <w:rFonts w:cs="Times New Roman"/>
        </w:rPr>
        <w:t>Ruumilise arengu visioon: „</w:t>
      </w:r>
      <w:r w:rsidRPr="007E1305">
        <w:rPr>
          <w:rFonts w:cs="Times New Roman"/>
          <w:i/>
        </w:rPr>
        <w:t>Põlvamaa on ajaloolist jätkuvust ja looduslähedust väärtustava ruumistruktuuriga maakond. Siin eristuvad traditsioonilised külamaastikud ning kompaktsena hoitud suuremad asulad ja linnad, mis ühtlasi koondavad mahukamat ettevõtlust ja tootmistegevust. Elanike igapäevaelu toimimine tugineb uuenduslike ja paindlike lahenduste rakendamisel ning mugavatel ühendustel oluliste keskustega Põlvamaal ja naabermaakondades. Kõik see tagab kvaliteetse elukeskkonna erinevates Põlvamaa piirkondades.</w:t>
      </w:r>
      <w:r w:rsidRPr="007E1305">
        <w:rPr>
          <w:rFonts w:cs="Times New Roman"/>
        </w:rPr>
        <w:t>“</w:t>
      </w:r>
    </w:p>
    <w:p w14:paraId="1EF1C467" w14:textId="230C23D2" w:rsidR="00584480" w:rsidRPr="009910AB" w:rsidRDefault="00584480" w:rsidP="00F02148">
      <w:pPr>
        <w:spacing w:after="0" w:line="252" w:lineRule="auto"/>
        <w:jc w:val="both"/>
        <w:rPr>
          <w:rFonts w:cs="Times New Roman"/>
        </w:rPr>
      </w:pPr>
      <w:r w:rsidRPr="009910AB">
        <w:rPr>
          <w:rFonts w:cs="Times New Roman"/>
        </w:rPr>
        <w:lastRenderedPageBreak/>
        <w:t xml:space="preserve">Põlvamaa arengustrateegia 2035+ visioonil on tugev seos maakonnaplaneeringu ruumilise arengu visiooniga, sest mõlemad rõhutavad Põlvamaa looduslähedust ja  head elukeskkonda. </w:t>
      </w:r>
      <w:r w:rsidR="00DB29ED">
        <w:rPr>
          <w:rFonts w:cs="Times New Roman"/>
        </w:rPr>
        <w:t xml:space="preserve"> </w:t>
      </w:r>
      <w:r>
        <w:rPr>
          <w:rFonts w:cs="Times New Roman"/>
        </w:rPr>
        <w:t xml:space="preserve">Kõige otsesemalt tegeleb maakonnaplaneeringust toodud ruumilise arengu visiooniga kuues strateegiline eesmärk -  </w:t>
      </w:r>
      <w:r w:rsidRPr="009910AB">
        <w:rPr>
          <w:rFonts w:cs="Times New Roman"/>
        </w:rPr>
        <w:t>Atraktiivse ja loodussäästliku elu- ja ettevõtluskeskkonnaga maakond</w:t>
      </w:r>
      <w:r>
        <w:rPr>
          <w:rFonts w:cs="Times New Roman"/>
        </w:rPr>
        <w:t>.</w:t>
      </w:r>
    </w:p>
    <w:p w14:paraId="0E3671D0" w14:textId="77777777" w:rsidR="00584480" w:rsidRDefault="00584480" w:rsidP="00F02148">
      <w:pPr>
        <w:spacing w:line="252" w:lineRule="auto"/>
        <w:rPr>
          <w:color w:val="538135" w:themeColor="accent6" w:themeShade="BF"/>
          <w:sz w:val="24"/>
          <w:szCs w:val="24"/>
        </w:rPr>
      </w:pPr>
    </w:p>
    <w:p w14:paraId="5DCC9AEB" w14:textId="7DE49463" w:rsidR="005E19BD" w:rsidRPr="00584480" w:rsidRDefault="00407369" w:rsidP="00F02148">
      <w:pPr>
        <w:spacing w:line="252" w:lineRule="auto"/>
        <w:rPr>
          <w:sz w:val="32"/>
          <w:szCs w:val="32"/>
        </w:rPr>
      </w:pPr>
      <w:r w:rsidRPr="00584480">
        <w:rPr>
          <w:color w:val="538135" w:themeColor="accent6" w:themeShade="BF"/>
          <w:sz w:val="32"/>
          <w:szCs w:val="32"/>
        </w:rPr>
        <w:t>Regionaalse</w:t>
      </w:r>
      <w:r w:rsidR="00D124B3">
        <w:rPr>
          <w:color w:val="538135" w:themeColor="accent6" w:themeShade="BF"/>
          <w:sz w:val="32"/>
          <w:szCs w:val="32"/>
        </w:rPr>
        <w:t xml:space="preserve"> tasandi </w:t>
      </w:r>
      <w:r w:rsidRPr="00584480">
        <w:rPr>
          <w:color w:val="538135" w:themeColor="accent6" w:themeShade="BF"/>
          <w:sz w:val="32"/>
          <w:szCs w:val="32"/>
        </w:rPr>
        <w:t>arengudokumendid</w:t>
      </w:r>
    </w:p>
    <w:p w14:paraId="3FE70DB0" w14:textId="77777777" w:rsidR="00F02148" w:rsidRDefault="00903DFD" w:rsidP="00F02148">
      <w:pPr>
        <w:spacing w:line="252" w:lineRule="auto"/>
        <w:rPr>
          <w:color w:val="538135" w:themeColor="accent6" w:themeShade="BF"/>
          <w:sz w:val="28"/>
          <w:szCs w:val="28"/>
        </w:rPr>
      </w:pPr>
      <w:r w:rsidRPr="001C2E50">
        <w:rPr>
          <w:color w:val="538135" w:themeColor="accent6" w:themeShade="BF"/>
          <w:sz w:val="28"/>
          <w:szCs w:val="28"/>
        </w:rPr>
        <w:t>Regionaalse arengu</w:t>
      </w:r>
      <w:r w:rsidRPr="001C2E50">
        <w:rPr>
          <w:color w:val="538135" w:themeColor="accent6" w:themeShade="BF"/>
          <w:sz w:val="28"/>
          <w:szCs w:val="28"/>
        </w:rPr>
        <w:t xml:space="preserve"> </w:t>
      </w:r>
      <w:r w:rsidRPr="001C2E50">
        <w:rPr>
          <w:color w:val="538135" w:themeColor="accent6" w:themeShade="BF"/>
          <w:sz w:val="28"/>
          <w:szCs w:val="28"/>
        </w:rPr>
        <w:t>tegevuskava</w:t>
      </w:r>
    </w:p>
    <w:p w14:paraId="46F9AF8C" w14:textId="124942C0" w:rsidR="00407369" w:rsidRDefault="00F02148" w:rsidP="007C37B8">
      <w:pPr>
        <w:spacing w:after="120" w:line="252" w:lineRule="auto"/>
        <w:jc w:val="both"/>
      </w:pPr>
      <w:r w:rsidRPr="00F02148">
        <w:t>Regionaalse arengu tegevuskava eesmärgiks on tugevdada valdkonnapoliitikate tegevusi riigi regionaalarengu võtmeväljakutsete lahendamisel, panustades nii „Eesti 2035“ regionaalset arengut puudutavate arengusihtide elluviimisse, ning luua alus nende protsesside edasiseks seireks.</w:t>
      </w:r>
      <w:r w:rsidR="007C37B8">
        <w:t xml:space="preserve"> Tegevuskava </w:t>
      </w:r>
      <w:r w:rsidR="007C37B8" w:rsidRPr="007C37B8">
        <w:t>määratleb riigi regionaalse arengu peamised juurprobleemid, seostades need „Eesti 2035“ strateegiliste sihtide ja seiremõõdikutega</w:t>
      </w:r>
      <w:r w:rsidR="007C37B8">
        <w:t>.</w:t>
      </w:r>
      <w:r w:rsidR="00192B78">
        <w:t xml:space="preserve"> Tabelis 4. on toodud regionaalse arengu tegevuskava juurprobleemid</w:t>
      </w:r>
      <w:r w:rsidR="00495E04">
        <w:t xml:space="preserve"> ja </w:t>
      </w:r>
      <w:r w:rsidR="00192B78">
        <w:t>maakonna arengustrateegia tegevussuun</w:t>
      </w:r>
      <w:r w:rsidR="00495E04">
        <w:t>ad, mis nendega tegelevad</w:t>
      </w:r>
      <w:r w:rsidR="00192B78">
        <w:t>.</w:t>
      </w:r>
    </w:p>
    <w:p w14:paraId="1FB51ECF" w14:textId="25C337A6" w:rsidR="00DB29ED" w:rsidRDefault="0060484F" w:rsidP="00F02148">
      <w:pPr>
        <w:spacing w:line="252" w:lineRule="auto"/>
      </w:pPr>
      <w:r w:rsidRPr="0060484F">
        <w:rPr>
          <w:b/>
          <w:bCs/>
        </w:rPr>
        <w:t>Tabel 4.</w:t>
      </w:r>
      <w:r>
        <w:t xml:space="preserve"> Regionaalse arengu tegevuskava juurprobleemide ja maakonna arengustrateegia tegevussuundade seosed.</w:t>
      </w:r>
    </w:p>
    <w:tbl>
      <w:tblPr>
        <w:tblStyle w:val="Ruuttabel4rhk6"/>
        <w:tblW w:w="0" w:type="auto"/>
        <w:tblLook w:val="04A0" w:firstRow="1" w:lastRow="0" w:firstColumn="1" w:lastColumn="0" w:noHBand="0" w:noVBand="1"/>
      </w:tblPr>
      <w:tblGrid>
        <w:gridCol w:w="7225"/>
        <w:gridCol w:w="1837"/>
      </w:tblGrid>
      <w:tr w:rsidR="0060484F" w14:paraId="6AD0CA2A" w14:textId="77777777" w:rsidTr="005F2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Borders>
              <w:right w:val="single" w:sz="4" w:space="0" w:color="FFFFFF" w:themeColor="background1"/>
            </w:tcBorders>
            <w:vAlign w:val="center"/>
          </w:tcPr>
          <w:p w14:paraId="067495D5" w14:textId="5AF58CDE" w:rsidR="0060484F" w:rsidRPr="00192B78" w:rsidRDefault="00F26DC9" w:rsidP="00F26DC9">
            <w:pPr>
              <w:spacing w:line="252" w:lineRule="auto"/>
              <w:jc w:val="center"/>
              <w:rPr>
                <w:sz w:val="28"/>
                <w:szCs w:val="28"/>
              </w:rPr>
            </w:pPr>
            <w:r w:rsidRPr="00192B78">
              <w:rPr>
                <w:sz w:val="28"/>
                <w:szCs w:val="28"/>
              </w:rPr>
              <w:t>Regionaalse arengu tegevuskava juurprobleem</w:t>
            </w:r>
          </w:p>
        </w:tc>
        <w:tc>
          <w:tcPr>
            <w:tcW w:w="1837" w:type="dxa"/>
            <w:tcBorders>
              <w:left w:val="single" w:sz="4" w:space="0" w:color="FFFFFF" w:themeColor="background1"/>
            </w:tcBorders>
            <w:vAlign w:val="center"/>
          </w:tcPr>
          <w:p w14:paraId="41A4D01D" w14:textId="1F928356" w:rsidR="0060484F" w:rsidRPr="00192B78" w:rsidRDefault="00F26DC9" w:rsidP="00F26DC9">
            <w:pPr>
              <w:spacing w:line="252"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192B78">
              <w:rPr>
                <w:sz w:val="28"/>
                <w:szCs w:val="28"/>
              </w:rPr>
              <w:t>Maakonna tegevussuund</w:t>
            </w:r>
          </w:p>
        </w:tc>
      </w:tr>
      <w:tr w:rsidR="0060484F" w14:paraId="10425C4F" w14:textId="77777777" w:rsidTr="006B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66E8A118" w14:textId="18263FAA" w:rsidR="0060484F" w:rsidRPr="00192B78" w:rsidRDefault="0060484F" w:rsidP="00F02148">
            <w:pPr>
              <w:spacing w:line="252" w:lineRule="auto"/>
              <w:rPr>
                <w:b w:val="0"/>
                <w:bCs w:val="0"/>
                <w:sz w:val="24"/>
                <w:szCs w:val="24"/>
              </w:rPr>
            </w:pPr>
            <w:r w:rsidRPr="00192B78">
              <w:rPr>
                <w:b w:val="0"/>
                <w:bCs w:val="0"/>
                <w:sz w:val="24"/>
                <w:szCs w:val="24"/>
              </w:rPr>
              <w:t>1</w:t>
            </w:r>
            <w:r w:rsidR="00F26DC9" w:rsidRPr="00192B78">
              <w:rPr>
                <w:b w:val="0"/>
                <w:bCs w:val="0"/>
                <w:sz w:val="24"/>
                <w:szCs w:val="24"/>
              </w:rPr>
              <w:t>.</w:t>
            </w:r>
            <w:r w:rsidRPr="00192B78">
              <w:rPr>
                <w:b w:val="0"/>
                <w:bCs w:val="0"/>
                <w:sz w:val="24"/>
                <w:szCs w:val="24"/>
              </w:rPr>
              <w:t xml:space="preserve"> </w:t>
            </w:r>
            <w:r w:rsidR="005F2FD5" w:rsidRPr="00192B78">
              <w:rPr>
                <w:b w:val="0"/>
                <w:bCs w:val="0"/>
                <w:sz w:val="24"/>
                <w:szCs w:val="24"/>
              </w:rPr>
              <w:t>j</w:t>
            </w:r>
            <w:r w:rsidRPr="00192B78">
              <w:rPr>
                <w:b w:val="0"/>
                <w:bCs w:val="0"/>
                <w:sz w:val="24"/>
                <w:szCs w:val="24"/>
              </w:rPr>
              <w:t>uurprobleem - piirkondlikud erinevused töökohtade kättesaadavuses ja tööalastes eneseteostusvõimalustes</w:t>
            </w:r>
          </w:p>
        </w:tc>
        <w:tc>
          <w:tcPr>
            <w:tcW w:w="1837" w:type="dxa"/>
            <w:vAlign w:val="center"/>
          </w:tcPr>
          <w:p w14:paraId="05790F08" w14:textId="4535EB97" w:rsidR="0060484F" w:rsidRDefault="006B24F7" w:rsidP="006B24F7">
            <w:pPr>
              <w:spacing w:line="252" w:lineRule="auto"/>
              <w:jc w:val="center"/>
              <w:cnfStyle w:val="000000100000" w:firstRow="0" w:lastRow="0" w:firstColumn="0" w:lastColumn="0" w:oddVBand="0" w:evenVBand="0" w:oddHBand="1" w:evenHBand="0" w:firstRowFirstColumn="0" w:firstRowLastColumn="0" w:lastRowFirstColumn="0" w:lastRowLastColumn="0"/>
            </w:pPr>
            <w:r>
              <w:t>TS 5.1., TS 5.2. ja TS 6.2.</w:t>
            </w:r>
          </w:p>
        </w:tc>
      </w:tr>
      <w:tr w:rsidR="0060484F" w14:paraId="41B3C26C" w14:textId="77777777" w:rsidTr="006B24F7">
        <w:tc>
          <w:tcPr>
            <w:cnfStyle w:val="001000000000" w:firstRow="0" w:lastRow="0" w:firstColumn="1" w:lastColumn="0" w:oddVBand="0" w:evenVBand="0" w:oddHBand="0" w:evenHBand="0" w:firstRowFirstColumn="0" w:firstRowLastColumn="0" w:lastRowFirstColumn="0" w:lastRowLastColumn="0"/>
            <w:tcW w:w="7225" w:type="dxa"/>
          </w:tcPr>
          <w:p w14:paraId="5CDBF13A" w14:textId="4D86961B" w:rsidR="0060484F" w:rsidRPr="00192B78" w:rsidRDefault="00F26DC9" w:rsidP="00F02148">
            <w:pPr>
              <w:spacing w:line="252" w:lineRule="auto"/>
              <w:rPr>
                <w:b w:val="0"/>
                <w:bCs w:val="0"/>
                <w:sz w:val="24"/>
                <w:szCs w:val="24"/>
              </w:rPr>
            </w:pPr>
            <w:r w:rsidRPr="00192B78">
              <w:rPr>
                <w:b w:val="0"/>
                <w:bCs w:val="0"/>
                <w:sz w:val="24"/>
                <w:szCs w:val="24"/>
              </w:rPr>
              <w:t xml:space="preserve">2. </w:t>
            </w:r>
            <w:r w:rsidR="005F2FD5" w:rsidRPr="00192B78">
              <w:rPr>
                <w:b w:val="0"/>
                <w:bCs w:val="0"/>
                <w:sz w:val="24"/>
                <w:szCs w:val="24"/>
              </w:rPr>
              <w:t xml:space="preserve">juurprobleem - </w:t>
            </w:r>
            <w:r w:rsidR="005F2FD5" w:rsidRPr="00192B78">
              <w:rPr>
                <w:b w:val="0"/>
                <w:bCs w:val="0"/>
                <w:sz w:val="24"/>
                <w:szCs w:val="24"/>
              </w:rPr>
              <w:t>piirkondlik ebavõrdsus inimeste sissetulekutes ja vaesuses</w:t>
            </w:r>
          </w:p>
        </w:tc>
        <w:tc>
          <w:tcPr>
            <w:tcW w:w="1837" w:type="dxa"/>
            <w:vAlign w:val="center"/>
          </w:tcPr>
          <w:p w14:paraId="7CC2368D" w14:textId="45ECF5F1" w:rsidR="0060484F" w:rsidRDefault="006B24F7" w:rsidP="006B24F7">
            <w:pPr>
              <w:spacing w:line="252" w:lineRule="auto"/>
              <w:jc w:val="center"/>
              <w:cnfStyle w:val="000000000000" w:firstRow="0" w:lastRow="0" w:firstColumn="0" w:lastColumn="0" w:oddVBand="0" w:evenVBand="0" w:oddHBand="0" w:evenHBand="0" w:firstRowFirstColumn="0" w:firstRowLastColumn="0" w:lastRowFirstColumn="0" w:lastRowLastColumn="0"/>
            </w:pPr>
            <w:r>
              <w:t>TS 4.1.</w:t>
            </w:r>
            <w:r w:rsidR="00495E04">
              <w:t>,</w:t>
            </w:r>
            <w:r>
              <w:t xml:space="preserve"> TS 4.2.</w:t>
            </w:r>
            <w:r w:rsidR="00495E04">
              <w:t xml:space="preserve"> ja TS 5.2.</w:t>
            </w:r>
          </w:p>
        </w:tc>
      </w:tr>
      <w:tr w:rsidR="0060484F" w14:paraId="614712BB" w14:textId="77777777" w:rsidTr="006B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2836852C" w14:textId="1928D76A" w:rsidR="0060484F" w:rsidRPr="00192B78" w:rsidRDefault="00F26DC9" w:rsidP="00F02148">
            <w:pPr>
              <w:spacing w:line="252" w:lineRule="auto"/>
              <w:rPr>
                <w:b w:val="0"/>
                <w:bCs w:val="0"/>
                <w:sz w:val="24"/>
                <w:szCs w:val="24"/>
              </w:rPr>
            </w:pPr>
            <w:r w:rsidRPr="00192B78">
              <w:rPr>
                <w:b w:val="0"/>
                <w:bCs w:val="0"/>
                <w:sz w:val="24"/>
                <w:szCs w:val="24"/>
              </w:rPr>
              <w:t xml:space="preserve">3. </w:t>
            </w:r>
            <w:r w:rsidR="005F2FD5" w:rsidRPr="00192B78">
              <w:rPr>
                <w:b w:val="0"/>
                <w:bCs w:val="0"/>
                <w:sz w:val="24"/>
                <w:szCs w:val="24"/>
              </w:rPr>
              <w:t xml:space="preserve">juurprobleem - </w:t>
            </w:r>
            <w:r w:rsidR="005F2FD5" w:rsidRPr="00192B78">
              <w:rPr>
                <w:b w:val="0"/>
                <w:bCs w:val="0"/>
                <w:sz w:val="24"/>
                <w:szCs w:val="24"/>
              </w:rPr>
              <w:t>piirkondade vahelised erinevused tervises ja tervena elatud eluaastates</w:t>
            </w:r>
          </w:p>
        </w:tc>
        <w:tc>
          <w:tcPr>
            <w:tcW w:w="1837" w:type="dxa"/>
            <w:vAlign w:val="center"/>
          </w:tcPr>
          <w:p w14:paraId="4E9FBDF4" w14:textId="2B6D262D" w:rsidR="0060484F" w:rsidRDefault="006B24F7" w:rsidP="006B24F7">
            <w:pPr>
              <w:spacing w:line="252" w:lineRule="auto"/>
              <w:jc w:val="center"/>
              <w:cnfStyle w:val="000000100000" w:firstRow="0" w:lastRow="0" w:firstColumn="0" w:lastColumn="0" w:oddVBand="0" w:evenVBand="0" w:oddHBand="1" w:evenHBand="0" w:firstRowFirstColumn="0" w:firstRowLastColumn="0" w:lastRowFirstColumn="0" w:lastRowLastColumn="0"/>
            </w:pPr>
            <w:r>
              <w:t>TS 1.3. ja TS 2.1.-TS 2.4.</w:t>
            </w:r>
          </w:p>
        </w:tc>
      </w:tr>
      <w:tr w:rsidR="0060484F" w14:paraId="752E930C" w14:textId="77777777" w:rsidTr="006B24F7">
        <w:tc>
          <w:tcPr>
            <w:cnfStyle w:val="001000000000" w:firstRow="0" w:lastRow="0" w:firstColumn="1" w:lastColumn="0" w:oddVBand="0" w:evenVBand="0" w:oddHBand="0" w:evenHBand="0" w:firstRowFirstColumn="0" w:firstRowLastColumn="0" w:lastRowFirstColumn="0" w:lastRowLastColumn="0"/>
            <w:tcW w:w="7225" w:type="dxa"/>
          </w:tcPr>
          <w:p w14:paraId="7EA668A5" w14:textId="24333BE8" w:rsidR="0060484F" w:rsidRPr="00192B78" w:rsidRDefault="00F26DC9" w:rsidP="00F02148">
            <w:pPr>
              <w:spacing w:line="252" w:lineRule="auto"/>
              <w:rPr>
                <w:b w:val="0"/>
                <w:bCs w:val="0"/>
                <w:sz w:val="24"/>
                <w:szCs w:val="24"/>
              </w:rPr>
            </w:pPr>
            <w:r w:rsidRPr="00192B78">
              <w:rPr>
                <w:b w:val="0"/>
                <w:bCs w:val="0"/>
                <w:sz w:val="24"/>
                <w:szCs w:val="24"/>
              </w:rPr>
              <w:t xml:space="preserve">4. </w:t>
            </w:r>
            <w:r w:rsidR="005F2FD5" w:rsidRPr="00192B78">
              <w:rPr>
                <w:b w:val="0"/>
                <w:bCs w:val="0"/>
                <w:sz w:val="24"/>
                <w:szCs w:val="24"/>
              </w:rPr>
              <w:t xml:space="preserve">juurprobleem - </w:t>
            </w:r>
            <w:r w:rsidR="005F2FD5" w:rsidRPr="00192B78">
              <w:rPr>
                <w:b w:val="0"/>
                <w:bCs w:val="0"/>
                <w:sz w:val="24"/>
                <w:szCs w:val="24"/>
              </w:rPr>
              <w:t>regionaalne ebavõrdsus ühiskonnaelus osalemise ning vaba-aja ja haridusega seotud eneseteostusvõimalustes</w:t>
            </w:r>
          </w:p>
        </w:tc>
        <w:tc>
          <w:tcPr>
            <w:tcW w:w="1837" w:type="dxa"/>
            <w:vAlign w:val="center"/>
          </w:tcPr>
          <w:p w14:paraId="5109848A" w14:textId="3C02D350" w:rsidR="0060484F" w:rsidRDefault="006B24F7" w:rsidP="006B24F7">
            <w:pPr>
              <w:spacing w:line="252" w:lineRule="auto"/>
              <w:jc w:val="center"/>
              <w:cnfStyle w:val="000000000000" w:firstRow="0" w:lastRow="0" w:firstColumn="0" w:lastColumn="0" w:oddVBand="0" w:evenVBand="0" w:oddHBand="0" w:evenHBand="0" w:firstRowFirstColumn="0" w:firstRowLastColumn="0" w:lastRowFirstColumn="0" w:lastRowLastColumn="0"/>
            </w:pPr>
            <w:r>
              <w:t>TS 1.2.</w:t>
            </w:r>
          </w:p>
        </w:tc>
      </w:tr>
      <w:tr w:rsidR="0060484F" w14:paraId="43016DA8" w14:textId="77777777" w:rsidTr="006B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16CC294D" w14:textId="70366B62" w:rsidR="0060484F" w:rsidRPr="00192B78" w:rsidRDefault="00F26DC9" w:rsidP="00F02148">
            <w:pPr>
              <w:spacing w:line="252" w:lineRule="auto"/>
              <w:rPr>
                <w:b w:val="0"/>
                <w:bCs w:val="0"/>
                <w:sz w:val="24"/>
                <w:szCs w:val="24"/>
              </w:rPr>
            </w:pPr>
            <w:r w:rsidRPr="00192B78">
              <w:rPr>
                <w:b w:val="0"/>
                <w:bCs w:val="0"/>
                <w:sz w:val="24"/>
                <w:szCs w:val="24"/>
              </w:rPr>
              <w:t xml:space="preserve">5. </w:t>
            </w:r>
            <w:r w:rsidR="005F2FD5" w:rsidRPr="00192B78">
              <w:rPr>
                <w:b w:val="0"/>
                <w:bCs w:val="0"/>
                <w:sz w:val="24"/>
                <w:szCs w:val="24"/>
              </w:rPr>
              <w:t xml:space="preserve">juurprobleem - </w:t>
            </w:r>
            <w:r w:rsidR="005F2FD5" w:rsidRPr="00192B78">
              <w:rPr>
                <w:b w:val="0"/>
                <w:bCs w:val="0"/>
                <w:sz w:val="24"/>
                <w:szCs w:val="24"/>
              </w:rPr>
              <w:t>regionaalne ebavõrdsus liikumisvõimalustes ja ühendustes</w:t>
            </w:r>
          </w:p>
        </w:tc>
        <w:tc>
          <w:tcPr>
            <w:tcW w:w="1837" w:type="dxa"/>
            <w:vAlign w:val="center"/>
          </w:tcPr>
          <w:p w14:paraId="31591EDA" w14:textId="40A849E9" w:rsidR="0060484F" w:rsidRDefault="006B24F7" w:rsidP="006B24F7">
            <w:pPr>
              <w:spacing w:line="252" w:lineRule="auto"/>
              <w:jc w:val="center"/>
              <w:cnfStyle w:val="000000100000" w:firstRow="0" w:lastRow="0" w:firstColumn="0" w:lastColumn="0" w:oddVBand="0" w:evenVBand="0" w:oddHBand="1" w:evenHBand="0" w:firstRowFirstColumn="0" w:firstRowLastColumn="0" w:lastRowFirstColumn="0" w:lastRowLastColumn="0"/>
            </w:pPr>
            <w:r>
              <w:t>TS 6.2.</w:t>
            </w:r>
          </w:p>
        </w:tc>
      </w:tr>
      <w:tr w:rsidR="0060484F" w14:paraId="58AD51DF" w14:textId="77777777" w:rsidTr="006B24F7">
        <w:tc>
          <w:tcPr>
            <w:cnfStyle w:val="001000000000" w:firstRow="0" w:lastRow="0" w:firstColumn="1" w:lastColumn="0" w:oddVBand="0" w:evenVBand="0" w:oddHBand="0" w:evenHBand="0" w:firstRowFirstColumn="0" w:firstRowLastColumn="0" w:lastRowFirstColumn="0" w:lastRowLastColumn="0"/>
            <w:tcW w:w="7225" w:type="dxa"/>
          </w:tcPr>
          <w:p w14:paraId="28D8A56B" w14:textId="64BE9A51" w:rsidR="0060484F" w:rsidRPr="00192B78" w:rsidRDefault="00F26DC9" w:rsidP="00F02148">
            <w:pPr>
              <w:spacing w:line="252" w:lineRule="auto"/>
              <w:rPr>
                <w:b w:val="0"/>
                <w:bCs w:val="0"/>
                <w:sz w:val="24"/>
                <w:szCs w:val="24"/>
              </w:rPr>
            </w:pPr>
            <w:r w:rsidRPr="00192B78">
              <w:rPr>
                <w:b w:val="0"/>
                <w:bCs w:val="0"/>
                <w:sz w:val="24"/>
                <w:szCs w:val="24"/>
              </w:rPr>
              <w:t xml:space="preserve">6. </w:t>
            </w:r>
            <w:r w:rsidR="005F2FD5" w:rsidRPr="00192B78">
              <w:rPr>
                <w:b w:val="0"/>
                <w:bCs w:val="0"/>
                <w:sz w:val="24"/>
                <w:szCs w:val="24"/>
              </w:rPr>
              <w:t xml:space="preserve">juurprobleem - </w:t>
            </w:r>
            <w:r w:rsidR="005F2FD5" w:rsidRPr="00192B78">
              <w:rPr>
                <w:b w:val="0"/>
                <w:bCs w:val="0"/>
                <w:sz w:val="24"/>
                <w:szCs w:val="24"/>
              </w:rPr>
              <w:t>regionaalne ebavõrdsus inimeste igapäeva elutingimustes</w:t>
            </w:r>
          </w:p>
        </w:tc>
        <w:tc>
          <w:tcPr>
            <w:tcW w:w="1837" w:type="dxa"/>
            <w:vAlign w:val="center"/>
          </w:tcPr>
          <w:p w14:paraId="1A4EB61E" w14:textId="0ED43A32" w:rsidR="0060484F" w:rsidRDefault="00495E04" w:rsidP="006B24F7">
            <w:pPr>
              <w:spacing w:line="252" w:lineRule="auto"/>
              <w:jc w:val="center"/>
              <w:cnfStyle w:val="000000000000" w:firstRow="0" w:lastRow="0" w:firstColumn="0" w:lastColumn="0" w:oddVBand="0" w:evenVBand="0" w:oddHBand="0" w:evenHBand="0" w:firstRowFirstColumn="0" w:firstRowLastColumn="0" w:lastRowFirstColumn="0" w:lastRowLastColumn="0"/>
            </w:pPr>
            <w:r>
              <w:t>TS 6.1.</w:t>
            </w:r>
          </w:p>
        </w:tc>
      </w:tr>
      <w:tr w:rsidR="0060484F" w14:paraId="79711187" w14:textId="77777777" w:rsidTr="006B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0C2AC1F7" w14:textId="4E7C1088" w:rsidR="0060484F" w:rsidRPr="00192B78" w:rsidRDefault="00F26DC9" w:rsidP="00F02148">
            <w:pPr>
              <w:spacing w:line="252" w:lineRule="auto"/>
              <w:rPr>
                <w:b w:val="0"/>
                <w:bCs w:val="0"/>
                <w:sz w:val="24"/>
                <w:szCs w:val="24"/>
              </w:rPr>
            </w:pPr>
            <w:r w:rsidRPr="00192B78">
              <w:rPr>
                <w:b w:val="0"/>
                <w:bCs w:val="0"/>
                <w:sz w:val="24"/>
                <w:szCs w:val="24"/>
              </w:rPr>
              <w:t xml:space="preserve">7. </w:t>
            </w:r>
            <w:r w:rsidR="005F2FD5" w:rsidRPr="00192B78">
              <w:rPr>
                <w:b w:val="0"/>
                <w:bCs w:val="0"/>
                <w:sz w:val="24"/>
                <w:szCs w:val="24"/>
              </w:rPr>
              <w:t xml:space="preserve">juurprobleem - </w:t>
            </w:r>
            <w:r w:rsidR="005F2FD5" w:rsidRPr="00192B78">
              <w:rPr>
                <w:b w:val="0"/>
                <w:bCs w:val="0"/>
                <w:sz w:val="24"/>
                <w:szCs w:val="24"/>
              </w:rPr>
              <w:t>piirkondlikud erinevused ettevõtete konkurentsivõimes ja ligipääsus kapitalile</w:t>
            </w:r>
          </w:p>
        </w:tc>
        <w:tc>
          <w:tcPr>
            <w:tcW w:w="1837" w:type="dxa"/>
            <w:vAlign w:val="center"/>
          </w:tcPr>
          <w:p w14:paraId="5F5FCE0F" w14:textId="206FAFF5" w:rsidR="0060484F" w:rsidRDefault="00495E04" w:rsidP="006B24F7">
            <w:pPr>
              <w:spacing w:line="252" w:lineRule="auto"/>
              <w:jc w:val="center"/>
              <w:cnfStyle w:val="000000100000" w:firstRow="0" w:lastRow="0" w:firstColumn="0" w:lastColumn="0" w:oddVBand="0" w:evenVBand="0" w:oddHBand="1" w:evenHBand="0" w:firstRowFirstColumn="0" w:firstRowLastColumn="0" w:lastRowFirstColumn="0" w:lastRowLastColumn="0"/>
            </w:pPr>
            <w:r>
              <w:t>TS 4.1, TS 4.2. ja TS 6.1.</w:t>
            </w:r>
          </w:p>
        </w:tc>
      </w:tr>
      <w:tr w:rsidR="0060484F" w14:paraId="73D7CF5B" w14:textId="77777777" w:rsidTr="006B24F7">
        <w:tc>
          <w:tcPr>
            <w:cnfStyle w:val="001000000000" w:firstRow="0" w:lastRow="0" w:firstColumn="1" w:lastColumn="0" w:oddVBand="0" w:evenVBand="0" w:oddHBand="0" w:evenHBand="0" w:firstRowFirstColumn="0" w:firstRowLastColumn="0" w:lastRowFirstColumn="0" w:lastRowLastColumn="0"/>
            <w:tcW w:w="7225" w:type="dxa"/>
          </w:tcPr>
          <w:p w14:paraId="59D0EE4F" w14:textId="4306965D" w:rsidR="0060484F" w:rsidRPr="00192B78" w:rsidRDefault="00F26DC9" w:rsidP="00F02148">
            <w:pPr>
              <w:spacing w:line="252" w:lineRule="auto"/>
              <w:rPr>
                <w:b w:val="0"/>
                <w:bCs w:val="0"/>
                <w:sz w:val="24"/>
                <w:szCs w:val="24"/>
              </w:rPr>
            </w:pPr>
            <w:r w:rsidRPr="00192B78">
              <w:rPr>
                <w:b w:val="0"/>
                <w:bCs w:val="0"/>
                <w:sz w:val="24"/>
                <w:szCs w:val="24"/>
              </w:rPr>
              <w:t xml:space="preserve">8. </w:t>
            </w:r>
            <w:r w:rsidR="005F2FD5" w:rsidRPr="00192B78">
              <w:rPr>
                <w:b w:val="0"/>
                <w:bCs w:val="0"/>
                <w:sz w:val="24"/>
                <w:szCs w:val="24"/>
              </w:rPr>
              <w:t xml:space="preserve">juurprobleem - </w:t>
            </w:r>
            <w:r w:rsidR="005F2FD5" w:rsidRPr="00192B78">
              <w:rPr>
                <w:b w:val="0"/>
                <w:bCs w:val="0"/>
                <w:sz w:val="24"/>
                <w:szCs w:val="24"/>
              </w:rPr>
              <w:t>piirkondlikud erinevused ettevõtetele vajalike oskustega tööjõu kättesaadavuses</w:t>
            </w:r>
          </w:p>
        </w:tc>
        <w:tc>
          <w:tcPr>
            <w:tcW w:w="1837" w:type="dxa"/>
            <w:vAlign w:val="center"/>
          </w:tcPr>
          <w:p w14:paraId="3F5325A4" w14:textId="546F8E8C" w:rsidR="0060484F" w:rsidRDefault="00495E04" w:rsidP="006B24F7">
            <w:pPr>
              <w:spacing w:line="252" w:lineRule="auto"/>
              <w:jc w:val="center"/>
              <w:cnfStyle w:val="000000000000" w:firstRow="0" w:lastRow="0" w:firstColumn="0" w:lastColumn="0" w:oddVBand="0" w:evenVBand="0" w:oddHBand="0" w:evenHBand="0" w:firstRowFirstColumn="0" w:firstRowLastColumn="0" w:lastRowFirstColumn="0" w:lastRowLastColumn="0"/>
            </w:pPr>
            <w:r>
              <w:t>TS 1.1. ja TS 5.2.</w:t>
            </w:r>
          </w:p>
        </w:tc>
      </w:tr>
      <w:tr w:rsidR="0060484F" w14:paraId="0FDF0EC9" w14:textId="77777777" w:rsidTr="006B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18C83BC5" w14:textId="2BDBA1D6" w:rsidR="00F26DC9" w:rsidRPr="00192B78" w:rsidRDefault="00F26DC9" w:rsidP="00F02148">
            <w:pPr>
              <w:spacing w:line="252" w:lineRule="auto"/>
              <w:rPr>
                <w:b w:val="0"/>
                <w:bCs w:val="0"/>
                <w:sz w:val="24"/>
                <w:szCs w:val="24"/>
              </w:rPr>
            </w:pPr>
            <w:r w:rsidRPr="00192B78">
              <w:rPr>
                <w:b w:val="0"/>
                <w:bCs w:val="0"/>
                <w:sz w:val="24"/>
                <w:szCs w:val="24"/>
              </w:rPr>
              <w:t xml:space="preserve">9. </w:t>
            </w:r>
            <w:r w:rsidR="005F2FD5" w:rsidRPr="00192B78">
              <w:rPr>
                <w:b w:val="0"/>
                <w:bCs w:val="0"/>
                <w:sz w:val="24"/>
                <w:szCs w:val="24"/>
              </w:rPr>
              <w:t xml:space="preserve">juurprobleem - </w:t>
            </w:r>
            <w:r w:rsidR="005F2FD5" w:rsidRPr="00192B78">
              <w:rPr>
                <w:b w:val="0"/>
                <w:bCs w:val="0"/>
                <w:sz w:val="24"/>
                <w:szCs w:val="24"/>
              </w:rPr>
              <w:t>KOVde piirkonniti erinev finants-, arendus- ja teenuste osutamise võimekus</w:t>
            </w:r>
          </w:p>
        </w:tc>
        <w:tc>
          <w:tcPr>
            <w:tcW w:w="1837" w:type="dxa"/>
            <w:vAlign w:val="center"/>
          </w:tcPr>
          <w:p w14:paraId="54A9C45D" w14:textId="7D1C3702" w:rsidR="0060484F" w:rsidRDefault="00495E04" w:rsidP="006B24F7">
            <w:pPr>
              <w:spacing w:line="252" w:lineRule="auto"/>
              <w:jc w:val="center"/>
              <w:cnfStyle w:val="000000100000" w:firstRow="0" w:lastRow="0" w:firstColumn="0" w:lastColumn="0" w:oddVBand="0" w:evenVBand="0" w:oddHBand="1" w:evenHBand="0" w:firstRowFirstColumn="0" w:firstRowLastColumn="0" w:lastRowFirstColumn="0" w:lastRowLastColumn="0"/>
            </w:pPr>
            <w:r>
              <w:t>TS 1.4. ja TS 6.1.</w:t>
            </w:r>
          </w:p>
        </w:tc>
      </w:tr>
      <w:tr w:rsidR="0060484F" w14:paraId="6E3C0D41" w14:textId="77777777" w:rsidTr="006B24F7">
        <w:tc>
          <w:tcPr>
            <w:cnfStyle w:val="001000000000" w:firstRow="0" w:lastRow="0" w:firstColumn="1" w:lastColumn="0" w:oddVBand="0" w:evenVBand="0" w:oddHBand="0" w:evenHBand="0" w:firstRowFirstColumn="0" w:firstRowLastColumn="0" w:lastRowFirstColumn="0" w:lastRowLastColumn="0"/>
            <w:tcW w:w="7225" w:type="dxa"/>
          </w:tcPr>
          <w:p w14:paraId="058FC496" w14:textId="253C9593" w:rsidR="0060484F" w:rsidRPr="00192B78" w:rsidRDefault="00F26DC9" w:rsidP="00F02148">
            <w:pPr>
              <w:spacing w:line="252" w:lineRule="auto"/>
              <w:rPr>
                <w:b w:val="0"/>
                <w:bCs w:val="0"/>
                <w:sz w:val="24"/>
                <w:szCs w:val="24"/>
              </w:rPr>
            </w:pPr>
            <w:r w:rsidRPr="00192B78">
              <w:rPr>
                <w:b w:val="0"/>
                <w:bCs w:val="0"/>
                <w:sz w:val="24"/>
                <w:szCs w:val="24"/>
              </w:rPr>
              <w:t xml:space="preserve">10. </w:t>
            </w:r>
            <w:r w:rsidR="005F2FD5" w:rsidRPr="00192B78">
              <w:rPr>
                <w:b w:val="0"/>
                <w:bCs w:val="0"/>
                <w:sz w:val="24"/>
                <w:szCs w:val="24"/>
              </w:rPr>
              <w:t xml:space="preserve">juurprobleem - </w:t>
            </w:r>
            <w:r w:rsidR="005F2FD5" w:rsidRPr="00192B78">
              <w:rPr>
                <w:b w:val="0"/>
                <w:bCs w:val="0"/>
                <w:sz w:val="24"/>
                <w:szCs w:val="24"/>
              </w:rPr>
              <w:t>piirkondlikud erinevused KOVde arenguväljavaadetes seoses rände ja elanike arvu muutustega</w:t>
            </w:r>
          </w:p>
        </w:tc>
        <w:tc>
          <w:tcPr>
            <w:tcW w:w="1837" w:type="dxa"/>
            <w:vAlign w:val="center"/>
          </w:tcPr>
          <w:p w14:paraId="777568A2" w14:textId="2EFE1B67" w:rsidR="0060484F" w:rsidRDefault="00495E04" w:rsidP="006B24F7">
            <w:pPr>
              <w:spacing w:line="252" w:lineRule="auto"/>
              <w:jc w:val="center"/>
              <w:cnfStyle w:val="000000000000" w:firstRow="0" w:lastRow="0" w:firstColumn="0" w:lastColumn="0" w:oddVBand="0" w:evenVBand="0" w:oddHBand="0" w:evenHBand="0" w:firstRowFirstColumn="0" w:firstRowLastColumn="0" w:lastRowFirstColumn="0" w:lastRowLastColumn="0"/>
            </w:pPr>
            <w:r>
              <w:t>Kõik tegevussuunad</w:t>
            </w:r>
          </w:p>
        </w:tc>
      </w:tr>
    </w:tbl>
    <w:p w14:paraId="7ADD6907" w14:textId="4D3AAB54" w:rsidR="00DB29ED" w:rsidRDefault="00DB29ED" w:rsidP="00F02148">
      <w:pPr>
        <w:spacing w:line="252" w:lineRule="auto"/>
      </w:pPr>
    </w:p>
    <w:p w14:paraId="5ECB8F0E" w14:textId="3D3ED1B0" w:rsidR="0060484F" w:rsidRDefault="0060484F" w:rsidP="00F02148">
      <w:pPr>
        <w:spacing w:line="252" w:lineRule="auto"/>
      </w:pPr>
    </w:p>
    <w:p w14:paraId="2DFF152B" w14:textId="77777777" w:rsidR="00192B78" w:rsidRDefault="00192B78" w:rsidP="00F02148">
      <w:pPr>
        <w:spacing w:line="252" w:lineRule="auto"/>
      </w:pPr>
    </w:p>
    <w:p w14:paraId="1CC34EC2" w14:textId="77777777" w:rsidR="00A00219" w:rsidRDefault="00A00219" w:rsidP="00F02148">
      <w:pPr>
        <w:spacing w:line="252" w:lineRule="auto"/>
        <w:rPr>
          <w:color w:val="538135" w:themeColor="accent6" w:themeShade="BF"/>
          <w:sz w:val="28"/>
          <w:szCs w:val="28"/>
        </w:rPr>
      </w:pPr>
    </w:p>
    <w:p w14:paraId="1FB17A54" w14:textId="36D822FF" w:rsidR="00903DFD" w:rsidRDefault="001C2E50" w:rsidP="00F02148">
      <w:pPr>
        <w:spacing w:line="252" w:lineRule="auto"/>
      </w:pPr>
      <w:r w:rsidRPr="001C2E50">
        <w:rPr>
          <w:color w:val="538135" w:themeColor="accent6" w:themeShade="BF"/>
          <w:sz w:val="28"/>
          <w:szCs w:val="28"/>
        </w:rPr>
        <w:lastRenderedPageBreak/>
        <w:t>Kagu-Eesti tegevuskava</w:t>
      </w:r>
      <w:r>
        <w:rPr>
          <w:color w:val="538135" w:themeColor="accent6" w:themeShade="BF"/>
          <w:sz w:val="28"/>
          <w:szCs w:val="28"/>
        </w:rPr>
        <w:t xml:space="preserve"> 2030</w:t>
      </w:r>
    </w:p>
    <w:p w14:paraId="43BEDA22" w14:textId="603E5897" w:rsidR="001C2E50" w:rsidRPr="00F02148" w:rsidRDefault="001C2E50" w:rsidP="00F02148">
      <w:pPr>
        <w:pStyle w:val="Default"/>
        <w:spacing w:after="160" w:line="252" w:lineRule="auto"/>
        <w:jc w:val="both"/>
        <w:rPr>
          <w:rFonts w:asciiTheme="minorHAnsi" w:hAnsiTheme="minorHAnsi" w:cstheme="minorBidi"/>
          <w:color w:val="auto"/>
          <w:sz w:val="22"/>
          <w:szCs w:val="22"/>
        </w:rPr>
      </w:pPr>
      <w:r w:rsidRPr="00F02148">
        <w:rPr>
          <w:rFonts w:asciiTheme="minorHAnsi" w:hAnsiTheme="minorHAnsi" w:cstheme="minorBidi"/>
          <w:color w:val="auto"/>
          <w:sz w:val="22"/>
          <w:szCs w:val="22"/>
        </w:rPr>
        <w:t>Kagu-Eesti tegevuskava 2030 on toetav dokument riikliku strateegilise planeerimise süsteemis</w:t>
      </w:r>
      <w:r w:rsidR="00F02148" w:rsidRPr="00F02148">
        <w:rPr>
          <w:rFonts w:asciiTheme="minorHAnsi" w:hAnsiTheme="minorHAnsi" w:cstheme="minorBidi"/>
          <w:color w:val="auto"/>
          <w:sz w:val="22"/>
          <w:szCs w:val="22"/>
        </w:rPr>
        <w:t xml:space="preserve"> ning osa r</w:t>
      </w:r>
      <w:r w:rsidR="00F02148" w:rsidRPr="00F02148">
        <w:rPr>
          <w:rFonts w:asciiTheme="minorHAnsi" w:hAnsiTheme="minorHAnsi" w:cstheme="minorBidi"/>
          <w:color w:val="auto"/>
          <w:sz w:val="22"/>
          <w:szCs w:val="22"/>
        </w:rPr>
        <w:t>egionaalse arengu tegevuskava rakendusplaan</w:t>
      </w:r>
      <w:r w:rsidR="00F02148" w:rsidRPr="00F02148">
        <w:rPr>
          <w:rFonts w:asciiTheme="minorHAnsi" w:hAnsiTheme="minorHAnsi" w:cstheme="minorBidi"/>
          <w:color w:val="auto"/>
          <w:sz w:val="22"/>
          <w:szCs w:val="22"/>
        </w:rPr>
        <w:t xml:space="preserve">ist. </w:t>
      </w:r>
      <w:r w:rsidRPr="00F02148">
        <w:rPr>
          <w:rFonts w:asciiTheme="minorHAnsi" w:hAnsiTheme="minorHAnsi" w:cstheme="minorBidi"/>
          <w:color w:val="auto"/>
          <w:sz w:val="22"/>
          <w:szCs w:val="22"/>
        </w:rPr>
        <w:t>Tegevuskava kajastab keskvalitsuse tegevusi, mis on suunatud otseselt Kagu-Eestile ning mis on ära toodud ka valdkondlikes arengudokumentides.</w:t>
      </w:r>
      <w:r w:rsidRPr="00F02148">
        <w:rPr>
          <w:rFonts w:asciiTheme="minorHAnsi" w:hAnsiTheme="minorHAnsi" w:cstheme="minorBidi"/>
          <w:color w:val="auto"/>
          <w:sz w:val="22"/>
          <w:szCs w:val="22"/>
        </w:rPr>
        <w:t xml:space="preserve"> </w:t>
      </w:r>
      <w:r w:rsidRPr="00F02148">
        <w:rPr>
          <w:rFonts w:asciiTheme="minorHAnsi" w:hAnsiTheme="minorHAnsi" w:cstheme="minorBidi"/>
          <w:color w:val="auto"/>
          <w:sz w:val="22"/>
          <w:szCs w:val="22"/>
        </w:rPr>
        <w:t>Kagu-Eesti tegevuskava jaotatud kolmeks tegevussuunaks</w:t>
      </w:r>
      <w:r w:rsidRPr="00F02148">
        <w:rPr>
          <w:rFonts w:asciiTheme="minorHAnsi" w:hAnsiTheme="minorHAnsi" w:cstheme="minorBidi"/>
          <w:color w:val="auto"/>
          <w:sz w:val="22"/>
          <w:szCs w:val="22"/>
        </w:rPr>
        <w:t xml:space="preserve">: </w:t>
      </w:r>
      <w:r w:rsidRPr="00F02148">
        <w:rPr>
          <w:rFonts w:asciiTheme="minorHAnsi" w:hAnsiTheme="minorHAnsi" w:cstheme="minorBidi"/>
          <w:color w:val="auto"/>
          <w:sz w:val="22"/>
          <w:szCs w:val="22"/>
        </w:rPr>
        <w:t>Tegusad inimesed</w:t>
      </w:r>
      <w:r w:rsidRPr="00F02148">
        <w:rPr>
          <w:rFonts w:asciiTheme="minorHAnsi" w:hAnsiTheme="minorHAnsi" w:cstheme="minorBidi"/>
          <w:color w:val="auto"/>
          <w:sz w:val="22"/>
          <w:szCs w:val="22"/>
        </w:rPr>
        <w:t xml:space="preserve">, </w:t>
      </w:r>
      <w:r w:rsidRPr="00F02148">
        <w:rPr>
          <w:rFonts w:asciiTheme="minorHAnsi" w:hAnsiTheme="minorHAnsi" w:cstheme="minorBidi"/>
          <w:color w:val="auto"/>
          <w:sz w:val="22"/>
          <w:szCs w:val="22"/>
        </w:rPr>
        <w:t>Tulevikukindlad ettevõtted</w:t>
      </w:r>
      <w:r w:rsidRPr="00F02148">
        <w:rPr>
          <w:rFonts w:asciiTheme="minorHAnsi" w:hAnsiTheme="minorHAnsi" w:cstheme="minorBidi"/>
          <w:color w:val="auto"/>
          <w:sz w:val="22"/>
          <w:szCs w:val="22"/>
        </w:rPr>
        <w:t xml:space="preserve">, </w:t>
      </w:r>
      <w:r w:rsidRPr="00F02148">
        <w:rPr>
          <w:rFonts w:asciiTheme="minorHAnsi" w:hAnsiTheme="minorHAnsi" w:cstheme="minorBidi"/>
          <w:color w:val="auto"/>
          <w:sz w:val="22"/>
          <w:szCs w:val="22"/>
        </w:rPr>
        <w:t>Kutsuv keskkond</w:t>
      </w:r>
      <w:r w:rsidRPr="00F02148">
        <w:rPr>
          <w:rFonts w:asciiTheme="minorHAnsi" w:hAnsiTheme="minorHAnsi" w:cstheme="minorBidi"/>
          <w:color w:val="auto"/>
          <w:sz w:val="22"/>
          <w:szCs w:val="22"/>
        </w:rPr>
        <w:t>. Tegevussuunad omakorda jagunevad erinevateks alasuundadeks.</w:t>
      </w:r>
    </w:p>
    <w:p w14:paraId="5E25AE97" w14:textId="5DE9F661" w:rsidR="001C2E50" w:rsidRPr="00F02148" w:rsidRDefault="001C2E50" w:rsidP="00F02148">
      <w:pPr>
        <w:spacing w:line="252" w:lineRule="auto"/>
      </w:pPr>
      <w:r w:rsidRPr="00F02148">
        <w:rPr>
          <w:b/>
          <w:bCs/>
        </w:rPr>
        <w:t xml:space="preserve">Tabel </w:t>
      </w:r>
      <w:r w:rsidR="0060484F">
        <w:rPr>
          <w:b/>
          <w:bCs/>
        </w:rPr>
        <w:t>5</w:t>
      </w:r>
      <w:r w:rsidRPr="00F02148">
        <w:rPr>
          <w:b/>
          <w:bCs/>
        </w:rPr>
        <w:t>.</w:t>
      </w:r>
      <w:r w:rsidRPr="00F02148">
        <w:t xml:space="preserve"> </w:t>
      </w:r>
      <w:r>
        <w:t>Kagu-Eesti tegevus</w:t>
      </w:r>
      <w:r w:rsidRPr="001C2E50">
        <w:t xml:space="preserve">kava </w:t>
      </w:r>
      <w:r>
        <w:t>alasuundade</w:t>
      </w:r>
      <w:r w:rsidRPr="001C2E50">
        <w:t xml:space="preserve"> ja maakonna arengustrateegia </w:t>
      </w:r>
      <w:r>
        <w:t>tegevussuundade</w:t>
      </w:r>
      <w:r w:rsidRPr="001C2E50">
        <w:t xml:space="preserve"> seosed.</w:t>
      </w:r>
    </w:p>
    <w:tbl>
      <w:tblPr>
        <w:tblStyle w:val="Ruuttabel4rhk6"/>
        <w:tblW w:w="0" w:type="auto"/>
        <w:tblLook w:val="04A0" w:firstRow="1" w:lastRow="0" w:firstColumn="1" w:lastColumn="0" w:noHBand="0" w:noVBand="1"/>
      </w:tblPr>
      <w:tblGrid>
        <w:gridCol w:w="3020"/>
        <w:gridCol w:w="4205"/>
        <w:gridCol w:w="1837"/>
      </w:tblGrid>
      <w:tr w:rsidR="00D73432" w14:paraId="0ED6EA4A" w14:textId="77777777" w:rsidTr="00D73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gridSpan w:val="2"/>
            <w:tcBorders>
              <w:bottom w:val="single" w:sz="4" w:space="0" w:color="FFFFFF" w:themeColor="background1"/>
              <w:right w:val="single" w:sz="4" w:space="0" w:color="FFFFFF" w:themeColor="background1"/>
            </w:tcBorders>
            <w:vAlign w:val="center"/>
          </w:tcPr>
          <w:p w14:paraId="54488017" w14:textId="1CCD0E63" w:rsidR="00D73432" w:rsidRPr="00192B78" w:rsidRDefault="00D73432" w:rsidP="00D73432">
            <w:pPr>
              <w:jc w:val="center"/>
              <w:rPr>
                <w:sz w:val="28"/>
                <w:szCs w:val="28"/>
              </w:rPr>
            </w:pPr>
            <w:r w:rsidRPr="00192B78">
              <w:rPr>
                <w:sz w:val="28"/>
                <w:szCs w:val="28"/>
              </w:rPr>
              <w:t>Kagu-Eesti tegevuskava</w:t>
            </w:r>
          </w:p>
        </w:tc>
        <w:tc>
          <w:tcPr>
            <w:tcW w:w="1837" w:type="dxa"/>
            <w:vMerge w:val="restart"/>
            <w:tcBorders>
              <w:left w:val="single" w:sz="4" w:space="0" w:color="FFFFFF" w:themeColor="background1"/>
            </w:tcBorders>
            <w:vAlign w:val="center"/>
          </w:tcPr>
          <w:p w14:paraId="7C66CD17" w14:textId="0A9108FD" w:rsidR="00D73432" w:rsidRPr="00192B78" w:rsidRDefault="00D73432" w:rsidP="00D73432">
            <w:pPr>
              <w:jc w:val="center"/>
              <w:cnfStyle w:val="100000000000" w:firstRow="1" w:lastRow="0" w:firstColumn="0" w:lastColumn="0" w:oddVBand="0" w:evenVBand="0" w:oddHBand="0" w:evenHBand="0" w:firstRowFirstColumn="0" w:firstRowLastColumn="0" w:lastRowFirstColumn="0" w:lastRowLastColumn="0"/>
              <w:rPr>
                <w:sz w:val="28"/>
                <w:szCs w:val="28"/>
              </w:rPr>
            </w:pPr>
            <w:r w:rsidRPr="00192B78">
              <w:rPr>
                <w:sz w:val="28"/>
                <w:szCs w:val="28"/>
              </w:rPr>
              <w:t xml:space="preserve">Maakonna vastav </w:t>
            </w:r>
            <w:r w:rsidRPr="00192B78">
              <w:rPr>
                <w:sz w:val="28"/>
                <w:szCs w:val="28"/>
              </w:rPr>
              <w:t>tegevussuund</w:t>
            </w:r>
          </w:p>
        </w:tc>
      </w:tr>
      <w:tr w:rsidR="00D73432" w14:paraId="579F8583" w14:textId="77777777" w:rsidTr="00D7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FFFFFF" w:themeColor="background1"/>
            </w:tcBorders>
            <w:shd w:val="clear" w:color="auto" w:fill="70AD47" w:themeFill="accent6"/>
            <w:vAlign w:val="center"/>
          </w:tcPr>
          <w:p w14:paraId="57FD2BD6" w14:textId="03A5D3D5" w:rsidR="00D73432" w:rsidRPr="00192B78" w:rsidRDefault="00D73432" w:rsidP="00D73432">
            <w:pPr>
              <w:jc w:val="center"/>
              <w:rPr>
                <w:color w:val="FFFFFF" w:themeColor="background1"/>
                <w:sz w:val="28"/>
                <w:szCs w:val="28"/>
              </w:rPr>
            </w:pPr>
            <w:r w:rsidRPr="00192B78">
              <w:rPr>
                <w:color w:val="FFFFFF" w:themeColor="background1"/>
                <w:sz w:val="28"/>
                <w:szCs w:val="28"/>
              </w:rPr>
              <w:t>Tegevussuund</w:t>
            </w:r>
          </w:p>
        </w:tc>
        <w:tc>
          <w:tcPr>
            <w:tcW w:w="4205" w:type="dxa"/>
            <w:tcBorders>
              <w:top w:val="single" w:sz="4" w:space="0" w:color="FFFFFF" w:themeColor="background1"/>
              <w:right w:val="single" w:sz="4" w:space="0" w:color="FFFFFF" w:themeColor="background1"/>
            </w:tcBorders>
            <w:shd w:val="clear" w:color="auto" w:fill="70AD47" w:themeFill="accent6"/>
            <w:vAlign w:val="center"/>
          </w:tcPr>
          <w:p w14:paraId="2687A170" w14:textId="7AC6A43F" w:rsidR="00D73432" w:rsidRPr="00192B78" w:rsidRDefault="00D73432" w:rsidP="00D73432">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8"/>
                <w:szCs w:val="28"/>
              </w:rPr>
            </w:pPr>
            <w:r w:rsidRPr="00192B78">
              <w:rPr>
                <w:color w:val="FFFFFF" w:themeColor="background1"/>
                <w:sz w:val="28"/>
                <w:szCs w:val="28"/>
              </w:rPr>
              <w:t>Alasuund</w:t>
            </w:r>
          </w:p>
        </w:tc>
        <w:tc>
          <w:tcPr>
            <w:tcW w:w="1837" w:type="dxa"/>
            <w:vMerge/>
            <w:tcBorders>
              <w:left w:val="single" w:sz="4" w:space="0" w:color="FFFFFF" w:themeColor="background1"/>
            </w:tcBorders>
            <w:vAlign w:val="center"/>
          </w:tcPr>
          <w:p w14:paraId="3C49005B" w14:textId="77777777" w:rsidR="00D73432" w:rsidRPr="00192B78" w:rsidRDefault="00D73432" w:rsidP="00D73432">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34508B" w14:paraId="6DDB7A93" w14:textId="77777777" w:rsidTr="0034508B">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65E6C0F8" w14:textId="3F15F857" w:rsidR="0034508B" w:rsidRPr="00192B78" w:rsidRDefault="0034508B" w:rsidP="0034508B">
            <w:pPr>
              <w:rPr>
                <w:sz w:val="24"/>
                <w:szCs w:val="24"/>
              </w:rPr>
            </w:pPr>
            <w:r w:rsidRPr="00192B78">
              <w:rPr>
                <w:sz w:val="24"/>
                <w:szCs w:val="24"/>
              </w:rPr>
              <w:t>Tegusad inimesed</w:t>
            </w:r>
          </w:p>
        </w:tc>
        <w:tc>
          <w:tcPr>
            <w:tcW w:w="4205" w:type="dxa"/>
          </w:tcPr>
          <w:p w14:paraId="6085CAC0" w14:textId="66856EAF" w:rsidR="0034508B" w:rsidRPr="00192B78" w:rsidRDefault="0034508B" w:rsidP="00D7343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 xml:space="preserve">1.1. </w:t>
            </w:r>
            <w:r w:rsidRPr="00192B78">
              <w:rPr>
                <w:sz w:val="24"/>
                <w:szCs w:val="24"/>
              </w:rPr>
              <w:t>Piirkonna haridusvõimaluste vastavusse viimine Kagu-Eesti tulevikuvajadustega</w:t>
            </w:r>
          </w:p>
        </w:tc>
        <w:tc>
          <w:tcPr>
            <w:tcW w:w="1837" w:type="dxa"/>
            <w:vAlign w:val="center"/>
          </w:tcPr>
          <w:p w14:paraId="07C00DBB" w14:textId="59E769BB" w:rsidR="0034508B" w:rsidRPr="00192B78" w:rsidRDefault="0034508B" w:rsidP="00710B6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TS 1.1.</w:t>
            </w:r>
          </w:p>
        </w:tc>
      </w:tr>
      <w:tr w:rsidR="0034508B" w14:paraId="35E712AF" w14:textId="77777777" w:rsidTr="0071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Merge/>
          </w:tcPr>
          <w:p w14:paraId="17FA49B9" w14:textId="77777777" w:rsidR="0034508B" w:rsidRPr="00192B78" w:rsidRDefault="0034508B" w:rsidP="00D73432">
            <w:pPr>
              <w:rPr>
                <w:sz w:val="24"/>
                <w:szCs w:val="24"/>
              </w:rPr>
            </w:pPr>
          </w:p>
        </w:tc>
        <w:tc>
          <w:tcPr>
            <w:tcW w:w="4205" w:type="dxa"/>
          </w:tcPr>
          <w:p w14:paraId="77EAFC78" w14:textId="5E0E9C94" w:rsidR="0034508B" w:rsidRPr="00192B78" w:rsidRDefault="0034508B" w:rsidP="00D73432">
            <w:pP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 xml:space="preserve">1.2. </w:t>
            </w:r>
            <w:r w:rsidRPr="00192B78">
              <w:rPr>
                <w:sz w:val="24"/>
                <w:szCs w:val="24"/>
              </w:rPr>
              <w:t>Tööhõive ja ettevõtlikkuse edendamine</w:t>
            </w:r>
          </w:p>
        </w:tc>
        <w:tc>
          <w:tcPr>
            <w:tcW w:w="1837" w:type="dxa"/>
            <w:vAlign w:val="center"/>
          </w:tcPr>
          <w:p w14:paraId="0CE485A0" w14:textId="38314A99" w:rsidR="0034508B" w:rsidRPr="00192B78" w:rsidRDefault="0034508B" w:rsidP="00710B62">
            <w:pP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TS 5.1.</w:t>
            </w:r>
          </w:p>
        </w:tc>
      </w:tr>
      <w:tr w:rsidR="0034508B" w14:paraId="12FE7730" w14:textId="77777777" w:rsidTr="00710B62">
        <w:tc>
          <w:tcPr>
            <w:cnfStyle w:val="001000000000" w:firstRow="0" w:lastRow="0" w:firstColumn="1" w:lastColumn="0" w:oddVBand="0" w:evenVBand="0" w:oddHBand="0" w:evenHBand="0" w:firstRowFirstColumn="0" w:firstRowLastColumn="0" w:lastRowFirstColumn="0" w:lastRowLastColumn="0"/>
            <w:tcW w:w="3020" w:type="dxa"/>
            <w:vMerge/>
          </w:tcPr>
          <w:p w14:paraId="7CC488F4" w14:textId="77777777" w:rsidR="0034508B" w:rsidRPr="00192B78" w:rsidRDefault="0034508B" w:rsidP="00D73432">
            <w:pPr>
              <w:rPr>
                <w:sz w:val="24"/>
                <w:szCs w:val="24"/>
              </w:rPr>
            </w:pPr>
          </w:p>
        </w:tc>
        <w:tc>
          <w:tcPr>
            <w:tcW w:w="4205" w:type="dxa"/>
          </w:tcPr>
          <w:p w14:paraId="1AC7007D" w14:textId="03503640" w:rsidR="0034508B" w:rsidRPr="00192B78" w:rsidRDefault="0034508B" w:rsidP="00D7343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 xml:space="preserve">1.3. </w:t>
            </w:r>
            <w:r w:rsidRPr="00192B78">
              <w:rPr>
                <w:sz w:val="24"/>
                <w:szCs w:val="24"/>
              </w:rPr>
              <w:t>Tervisedendus ja terviseteenuste pakkumine</w:t>
            </w:r>
          </w:p>
        </w:tc>
        <w:tc>
          <w:tcPr>
            <w:tcW w:w="1837" w:type="dxa"/>
            <w:vAlign w:val="center"/>
          </w:tcPr>
          <w:p w14:paraId="5F6A7B06" w14:textId="04E5365C" w:rsidR="0034508B" w:rsidRPr="00192B78" w:rsidRDefault="0034508B" w:rsidP="00710B6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TS 1.3.</w:t>
            </w:r>
            <w:r w:rsidR="009D0595" w:rsidRPr="00192B78">
              <w:rPr>
                <w:sz w:val="24"/>
                <w:szCs w:val="24"/>
              </w:rPr>
              <w:t xml:space="preserve"> ja </w:t>
            </w:r>
            <w:r w:rsidRPr="00192B78">
              <w:rPr>
                <w:sz w:val="24"/>
                <w:szCs w:val="24"/>
              </w:rPr>
              <w:t>TS 2.1.-</w:t>
            </w:r>
            <w:r w:rsidR="00671520" w:rsidRPr="00192B78">
              <w:rPr>
                <w:sz w:val="24"/>
                <w:szCs w:val="24"/>
              </w:rPr>
              <w:t xml:space="preserve">TS </w:t>
            </w:r>
            <w:r w:rsidRPr="00192B78">
              <w:rPr>
                <w:sz w:val="24"/>
                <w:szCs w:val="24"/>
              </w:rPr>
              <w:t>2.4.</w:t>
            </w:r>
          </w:p>
        </w:tc>
      </w:tr>
      <w:tr w:rsidR="0034508B" w14:paraId="2E53A814" w14:textId="77777777" w:rsidTr="0071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Merge/>
          </w:tcPr>
          <w:p w14:paraId="472F3664" w14:textId="77777777" w:rsidR="0034508B" w:rsidRPr="00192B78" w:rsidRDefault="0034508B" w:rsidP="00D73432">
            <w:pPr>
              <w:rPr>
                <w:sz w:val="24"/>
                <w:szCs w:val="24"/>
              </w:rPr>
            </w:pPr>
          </w:p>
        </w:tc>
        <w:tc>
          <w:tcPr>
            <w:tcW w:w="4205" w:type="dxa"/>
          </w:tcPr>
          <w:p w14:paraId="79467EE1" w14:textId="6BC9C002" w:rsidR="0034508B" w:rsidRPr="00192B78" w:rsidRDefault="0034508B" w:rsidP="00D73432">
            <w:pP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 xml:space="preserve">1.4. </w:t>
            </w:r>
            <w:r w:rsidRPr="00192B78">
              <w:rPr>
                <w:sz w:val="24"/>
                <w:szCs w:val="24"/>
              </w:rPr>
              <w:t>Sotsiaalse heaolu edendamine ja kogukondade võimestamine</w:t>
            </w:r>
          </w:p>
        </w:tc>
        <w:tc>
          <w:tcPr>
            <w:tcW w:w="1837" w:type="dxa"/>
            <w:vAlign w:val="center"/>
          </w:tcPr>
          <w:p w14:paraId="207E74CD" w14:textId="2D03DBE9" w:rsidR="0034508B" w:rsidRPr="00192B78" w:rsidRDefault="0034508B" w:rsidP="00710B62">
            <w:pP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TS 1.2. ja TS 1.4.</w:t>
            </w:r>
            <w:r w:rsidRPr="00192B78">
              <w:rPr>
                <w:sz w:val="24"/>
                <w:szCs w:val="24"/>
              </w:rPr>
              <w:br/>
              <w:t>TS 3.3.</w:t>
            </w:r>
          </w:p>
        </w:tc>
      </w:tr>
      <w:tr w:rsidR="0034508B" w14:paraId="3C8AC502" w14:textId="77777777" w:rsidTr="0034508B">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17C3E53C" w14:textId="08635B43" w:rsidR="0034508B" w:rsidRPr="00192B78" w:rsidRDefault="0034508B" w:rsidP="0034508B">
            <w:pPr>
              <w:rPr>
                <w:sz w:val="24"/>
                <w:szCs w:val="24"/>
              </w:rPr>
            </w:pPr>
            <w:r w:rsidRPr="00192B78">
              <w:rPr>
                <w:sz w:val="24"/>
                <w:szCs w:val="24"/>
              </w:rPr>
              <w:t>Tulevikukindlad ettevõtted</w:t>
            </w:r>
          </w:p>
        </w:tc>
        <w:tc>
          <w:tcPr>
            <w:tcW w:w="4205" w:type="dxa"/>
          </w:tcPr>
          <w:p w14:paraId="513DEA67" w14:textId="31B2D5EE" w:rsidR="0034508B" w:rsidRPr="00192B78" w:rsidRDefault="0034508B" w:rsidP="00D7343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 xml:space="preserve">2.1. </w:t>
            </w:r>
            <w:r w:rsidRPr="00192B78">
              <w:rPr>
                <w:sz w:val="24"/>
                <w:szCs w:val="24"/>
              </w:rPr>
              <w:t>Piirkonnaspetsiifiliste ressursside väärindamine, rohetehnoloogiate ja ressursitõhususe edendamine</w:t>
            </w:r>
          </w:p>
        </w:tc>
        <w:tc>
          <w:tcPr>
            <w:tcW w:w="1837" w:type="dxa"/>
            <w:vAlign w:val="center"/>
          </w:tcPr>
          <w:p w14:paraId="4F564B12" w14:textId="2D4E9796" w:rsidR="0034508B" w:rsidRPr="00192B78" w:rsidRDefault="009D0595" w:rsidP="00710B6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 xml:space="preserve">TS 3.2., </w:t>
            </w:r>
            <w:r w:rsidR="00671520" w:rsidRPr="00192B78">
              <w:rPr>
                <w:sz w:val="24"/>
                <w:szCs w:val="24"/>
              </w:rPr>
              <w:t>TS 4.</w:t>
            </w:r>
            <w:r w:rsidR="00671520" w:rsidRPr="00192B78">
              <w:rPr>
                <w:sz w:val="24"/>
                <w:szCs w:val="24"/>
              </w:rPr>
              <w:t>1.</w:t>
            </w:r>
            <w:r w:rsidRPr="00192B78">
              <w:rPr>
                <w:sz w:val="24"/>
                <w:szCs w:val="24"/>
              </w:rPr>
              <w:t xml:space="preserve"> ja </w:t>
            </w:r>
            <w:r w:rsidRPr="00192B78">
              <w:rPr>
                <w:sz w:val="24"/>
                <w:szCs w:val="24"/>
              </w:rPr>
              <w:t>TS 5.3.</w:t>
            </w:r>
          </w:p>
        </w:tc>
      </w:tr>
      <w:tr w:rsidR="0034508B" w14:paraId="4CDBC03B" w14:textId="77777777" w:rsidTr="0071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Merge/>
          </w:tcPr>
          <w:p w14:paraId="666AD334" w14:textId="77777777" w:rsidR="0034508B" w:rsidRPr="00192B78" w:rsidRDefault="0034508B" w:rsidP="00D73432">
            <w:pPr>
              <w:rPr>
                <w:sz w:val="24"/>
                <w:szCs w:val="24"/>
              </w:rPr>
            </w:pPr>
          </w:p>
        </w:tc>
        <w:tc>
          <w:tcPr>
            <w:tcW w:w="4205" w:type="dxa"/>
          </w:tcPr>
          <w:p w14:paraId="2B354F7A" w14:textId="0F9D07C1" w:rsidR="0034508B" w:rsidRPr="00192B78" w:rsidRDefault="0034508B" w:rsidP="00D73432">
            <w:pP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 xml:space="preserve">2.2. </w:t>
            </w:r>
            <w:r w:rsidRPr="00192B78">
              <w:rPr>
                <w:sz w:val="24"/>
                <w:szCs w:val="24"/>
              </w:rPr>
              <w:t>Ettevõtete kasvu soodustamine, ettevõtete võrgustumine ja ettevõtlustaristu arendamine</w:t>
            </w:r>
          </w:p>
        </w:tc>
        <w:tc>
          <w:tcPr>
            <w:tcW w:w="1837" w:type="dxa"/>
            <w:vAlign w:val="center"/>
          </w:tcPr>
          <w:p w14:paraId="3736D024" w14:textId="4DD6896C" w:rsidR="0034508B" w:rsidRPr="00192B78" w:rsidRDefault="009D0595" w:rsidP="00710B62">
            <w:pP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TS 3.2.</w:t>
            </w:r>
            <w:r w:rsidRPr="00192B78">
              <w:rPr>
                <w:sz w:val="24"/>
                <w:szCs w:val="24"/>
              </w:rPr>
              <w:t xml:space="preserve">, </w:t>
            </w:r>
            <w:r w:rsidR="00671520" w:rsidRPr="00192B78">
              <w:rPr>
                <w:sz w:val="24"/>
                <w:szCs w:val="24"/>
              </w:rPr>
              <w:t>TS 4.2</w:t>
            </w:r>
            <w:r w:rsidR="00671520" w:rsidRPr="00192B78">
              <w:rPr>
                <w:sz w:val="24"/>
                <w:szCs w:val="24"/>
              </w:rPr>
              <w:t xml:space="preserve">. ja </w:t>
            </w:r>
            <w:r w:rsidR="00671520" w:rsidRPr="00192B78">
              <w:rPr>
                <w:sz w:val="24"/>
                <w:szCs w:val="24"/>
              </w:rPr>
              <w:t>TS 6.1.</w:t>
            </w:r>
          </w:p>
        </w:tc>
      </w:tr>
      <w:tr w:rsidR="0034508B" w14:paraId="1A52A5FF" w14:textId="77777777" w:rsidTr="0034508B">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68587D4F" w14:textId="0675736B" w:rsidR="0034508B" w:rsidRPr="00192B78" w:rsidRDefault="0034508B" w:rsidP="0034508B">
            <w:pPr>
              <w:rPr>
                <w:sz w:val="24"/>
                <w:szCs w:val="24"/>
              </w:rPr>
            </w:pPr>
            <w:r w:rsidRPr="00192B78">
              <w:rPr>
                <w:sz w:val="24"/>
                <w:szCs w:val="24"/>
              </w:rPr>
              <w:t>Kutsuv keskkond</w:t>
            </w:r>
          </w:p>
        </w:tc>
        <w:tc>
          <w:tcPr>
            <w:tcW w:w="4205" w:type="dxa"/>
          </w:tcPr>
          <w:p w14:paraId="25CC3EB4" w14:textId="5BAD2862" w:rsidR="0034508B" w:rsidRPr="00192B78" w:rsidRDefault="0034508B" w:rsidP="00D7343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 xml:space="preserve">3.1. </w:t>
            </w:r>
            <w:r w:rsidRPr="00192B78">
              <w:rPr>
                <w:sz w:val="24"/>
                <w:szCs w:val="24"/>
              </w:rPr>
              <w:t>Kommunikatsioonide ja ühenduste kaasajastamine</w:t>
            </w:r>
          </w:p>
        </w:tc>
        <w:tc>
          <w:tcPr>
            <w:tcW w:w="1837" w:type="dxa"/>
            <w:vAlign w:val="center"/>
          </w:tcPr>
          <w:p w14:paraId="278E54A9" w14:textId="04CED25A" w:rsidR="0034508B" w:rsidRPr="00192B78" w:rsidRDefault="00671520" w:rsidP="00710B6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TS 6.1. ja TS 6.2.</w:t>
            </w:r>
          </w:p>
        </w:tc>
      </w:tr>
      <w:tr w:rsidR="0034508B" w14:paraId="65393159" w14:textId="77777777" w:rsidTr="0071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Merge/>
          </w:tcPr>
          <w:p w14:paraId="509F7CEC" w14:textId="36CEB216" w:rsidR="0034508B" w:rsidRPr="00192B78" w:rsidRDefault="0034508B" w:rsidP="00D73432">
            <w:pPr>
              <w:rPr>
                <w:sz w:val="24"/>
                <w:szCs w:val="24"/>
              </w:rPr>
            </w:pPr>
          </w:p>
        </w:tc>
        <w:tc>
          <w:tcPr>
            <w:tcW w:w="4205" w:type="dxa"/>
          </w:tcPr>
          <w:p w14:paraId="118858C8" w14:textId="1CF311E5" w:rsidR="0034508B" w:rsidRPr="00192B78" w:rsidRDefault="0034508B" w:rsidP="00D73432">
            <w:pP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 xml:space="preserve">3.2. </w:t>
            </w:r>
            <w:r w:rsidRPr="00192B78">
              <w:rPr>
                <w:sz w:val="24"/>
                <w:szCs w:val="24"/>
              </w:rPr>
              <w:t>Kaugtöökohtade loomine ja kaugtöökeskuste arendamine</w:t>
            </w:r>
          </w:p>
        </w:tc>
        <w:tc>
          <w:tcPr>
            <w:tcW w:w="1837" w:type="dxa"/>
            <w:vAlign w:val="center"/>
          </w:tcPr>
          <w:p w14:paraId="36C2AB7A" w14:textId="3970C4DE" w:rsidR="0034508B" w:rsidRPr="00192B78" w:rsidRDefault="00671520" w:rsidP="00710B62">
            <w:pP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TS 5.2.</w:t>
            </w:r>
          </w:p>
        </w:tc>
      </w:tr>
      <w:tr w:rsidR="0034508B" w14:paraId="269BEA20" w14:textId="77777777" w:rsidTr="00710B62">
        <w:tc>
          <w:tcPr>
            <w:cnfStyle w:val="001000000000" w:firstRow="0" w:lastRow="0" w:firstColumn="1" w:lastColumn="0" w:oddVBand="0" w:evenVBand="0" w:oddHBand="0" w:evenHBand="0" w:firstRowFirstColumn="0" w:firstRowLastColumn="0" w:lastRowFirstColumn="0" w:lastRowLastColumn="0"/>
            <w:tcW w:w="3020" w:type="dxa"/>
            <w:vMerge/>
          </w:tcPr>
          <w:p w14:paraId="5A4C9FA8" w14:textId="77777777" w:rsidR="0034508B" w:rsidRPr="00192B78" w:rsidRDefault="0034508B" w:rsidP="00D73432">
            <w:pPr>
              <w:rPr>
                <w:sz w:val="24"/>
                <w:szCs w:val="24"/>
              </w:rPr>
            </w:pPr>
          </w:p>
        </w:tc>
        <w:tc>
          <w:tcPr>
            <w:tcW w:w="4205" w:type="dxa"/>
          </w:tcPr>
          <w:p w14:paraId="4895D09D" w14:textId="50208837" w:rsidR="0034508B" w:rsidRPr="00192B78" w:rsidRDefault="0034508B" w:rsidP="00D7343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 xml:space="preserve">3.3. </w:t>
            </w:r>
            <w:r w:rsidRPr="00192B78">
              <w:rPr>
                <w:sz w:val="24"/>
                <w:szCs w:val="24"/>
              </w:rPr>
              <w:t>Eluasemete kaasajastamine</w:t>
            </w:r>
          </w:p>
        </w:tc>
        <w:tc>
          <w:tcPr>
            <w:tcW w:w="1837" w:type="dxa"/>
            <w:vAlign w:val="center"/>
          </w:tcPr>
          <w:p w14:paraId="3670F60C" w14:textId="6747FC71" w:rsidR="0034508B" w:rsidRPr="00192B78" w:rsidRDefault="00671520" w:rsidP="00710B6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TS 6.1.</w:t>
            </w:r>
          </w:p>
        </w:tc>
      </w:tr>
      <w:tr w:rsidR="0034508B" w14:paraId="200F4C01" w14:textId="77777777" w:rsidTr="0071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Merge/>
          </w:tcPr>
          <w:p w14:paraId="0BC91138" w14:textId="77777777" w:rsidR="0034508B" w:rsidRPr="00192B78" w:rsidRDefault="0034508B" w:rsidP="00D73432">
            <w:pPr>
              <w:rPr>
                <w:sz w:val="24"/>
                <w:szCs w:val="24"/>
              </w:rPr>
            </w:pPr>
          </w:p>
        </w:tc>
        <w:tc>
          <w:tcPr>
            <w:tcW w:w="4205" w:type="dxa"/>
          </w:tcPr>
          <w:p w14:paraId="3BA63C6E" w14:textId="4E9A549B" w:rsidR="0034508B" w:rsidRPr="00192B78" w:rsidRDefault="0034508B" w:rsidP="00D73432">
            <w:pP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 xml:space="preserve">3.4. </w:t>
            </w:r>
            <w:r w:rsidRPr="00192B78">
              <w:rPr>
                <w:sz w:val="24"/>
                <w:szCs w:val="24"/>
              </w:rPr>
              <w:t>Turismi edendamine</w:t>
            </w:r>
          </w:p>
        </w:tc>
        <w:tc>
          <w:tcPr>
            <w:tcW w:w="1837" w:type="dxa"/>
            <w:vAlign w:val="center"/>
          </w:tcPr>
          <w:p w14:paraId="73690C71" w14:textId="6B852A9E" w:rsidR="0034508B" w:rsidRPr="00192B78" w:rsidRDefault="00671520" w:rsidP="00710B62">
            <w:pPr>
              <w:cnfStyle w:val="000000100000" w:firstRow="0" w:lastRow="0" w:firstColumn="0" w:lastColumn="0" w:oddVBand="0" w:evenVBand="0" w:oddHBand="1" w:evenHBand="0" w:firstRowFirstColumn="0" w:firstRowLastColumn="0" w:lastRowFirstColumn="0" w:lastRowLastColumn="0"/>
              <w:rPr>
                <w:sz w:val="24"/>
                <w:szCs w:val="24"/>
              </w:rPr>
            </w:pPr>
            <w:r w:rsidRPr="00192B78">
              <w:rPr>
                <w:sz w:val="24"/>
                <w:szCs w:val="24"/>
              </w:rPr>
              <w:t>TS 5.3.</w:t>
            </w:r>
          </w:p>
        </w:tc>
      </w:tr>
      <w:tr w:rsidR="0034508B" w14:paraId="062255B4" w14:textId="77777777" w:rsidTr="00710B62">
        <w:tc>
          <w:tcPr>
            <w:cnfStyle w:val="001000000000" w:firstRow="0" w:lastRow="0" w:firstColumn="1" w:lastColumn="0" w:oddVBand="0" w:evenVBand="0" w:oddHBand="0" w:evenHBand="0" w:firstRowFirstColumn="0" w:firstRowLastColumn="0" w:lastRowFirstColumn="0" w:lastRowLastColumn="0"/>
            <w:tcW w:w="3020" w:type="dxa"/>
            <w:vMerge/>
          </w:tcPr>
          <w:p w14:paraId="474418F6" w14:textId="77777777" w:rsidR="0034508B" w:rsidRPr="00192B78" w:rsidRDefault="0034508B" w:rsidP="00D73432">
            <w:pPr>
              <w:rPr>
                <w:sz w:val="24"/>
                <w:szCs w:val="24"/>
              </w:rPr>
            </w:pPr>
          </w:p>
        </w:tc>
        <w:tc>
          <w:tcPr>
            <w:tcW w:w="4205" w:type="dxa"/>
          </w:tcPr>
          <w:p w14:paraId="1A7E8191" w14:textId="642C4CAA" w:rsidR="0034508B" w:rsidRPr="00192B78" w:rsidRDefault="0034508B" w:rsidP="00D7343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 xml:space="preserve">3.5. </w:t>
            </w:r>
            <w:r w:rsidRPr="00192B78">
              <w:rPr>
                <w:sz w:val="24"/>
                <w:szCs w:val="24"/>
              </w:rPr>
              <w:t>Kultuurilise eripära ja looduspärandi hoidmine</w:t>
            </w:r>
          </w:p>
        </w:tc>
        <w:tc>
          <w:tcPr>
            <w:tcW w:w="1837" w:type="dxa"/>
            <w:vAlign w:val="center"/>
          </w:tcPr>
          <w:p w14:paraId="023D563F" w14:textId="4CC7692A" w:rsidR="0034508B" w:rsidRPr="00192B78" w:rsidRDefault="00671520" w:rsidP="00710B62">
            <w:pPr>
              <w:cnfStyle w:val="000000000000" w:firstRow="0" w:lastRow="0" w:firstColumn="0" w:lastColumn="0" w:oddVBand="0" w:evenVBand="0" w:oddHBand="0" w:evenHBand="0" w:firstRowFirstColumn="0" w:firstRowLastColumn="0" w:lastRowFirstColumn="0" w:lastRowLastColumn="0"/>
              <w:rPr>
                <w:sz w:val="24"/>
                <w:szCs w:val="24"/>
              </w:rPr>
            </w:pPr>
            <w:r w:rsidRPr="00192B78">
              <w:rPr>
                <w:sz w:val="24"/>
                <w:szCs w:val="24"/>
              </w:rPr>
              <w:t>TS 3.1.</w:t>
            </w:r>
          </w:p>
        </w:tc>
      </w:tr>
    </w:tbl>
    <w:p w14:paraId="648910BD" w14:textId="77777777" w:rsidR="001C2E50" w:rsidRDefault="001C2E50" w:rsidP="00903DFD"/>
    <w:p w14:paraId="137B4AE4" w14:textId="77777777" w:rsidR="00407369" w:rsidRDefault="00407369"/>
    <w:p w14:paraId="03FC98DC" w14:textId="77777777" w:rsidR="00E01802" w:rsidRDefault="00E01802">
      <w:pPr>
        <w:rPr>
          <w:color w:val="538135" w:themeColor="accent6" w:themeShade="BF"/>
          <w:sz w:val="32"/>
          <w:szCs w:val="32"/>
        </w:rPr>
      </w:pPr>
    </w:p>
    <w:p w14:paraId="49278023" w14:textId="77777777" w:rsidR="00E01802" w:rsidRDefault="00E01802">
      <w:pPr>
        <w:rPr>
          <w:color w:val="538135" w:themeColor="accent6" w:themeShade="BF"/>
          <w:sz w:val="32"/>
          <w:szCs w:val="32"/>
        </w:rPr>
      </w:pPr>
      <w:r>
        <w:rPr>
          <w:color w:val="538135" w:themeColor="accent6" w:themeShade="BF"/>
          <w:sz w:val="32"/>
          <w:szCs w:val="32"/>
        </w:rPr>
        <w:br w:type="page"/>
      </w:r>
    </w:p>
    <w:p w14:paraId="1B49E52B" w14:textId="0C80ED97" w:rsidR="00407369" w:rsidRDefault="00407369">
      <w:pPr>
        <w:rPr>
          <w:color w:val="538135" w:themeColor="accent6" w:themeShade="BF"/>
          <w:sz w:val="32"/>
          <w:szCs w:val="32"/>
        </w:rPr>
      </w:pPr>
      <w:r w:rsidRPr="00584480">
        <w:rPr>
          <w:color w:val="538135" w:themeColor="accent6" w:themeShade="BF"/>
          <w:sz w:val="32"/>
          <w:szCs w:val="32"/>
        </w:rPr>
        <w:lastRenderedPageBreak/>
        <w:t>Riikliku</w:t>
      </w:r>
      <w:r w:rsidR="00D124B3">
        <w:rPr>
          <w:color w:val="538135" w:themeColor="accent6" w:themeShade="BF"/>
          <w:sz w:val="32"/>
          <w:szCs w:val="32"/>
        </w:rPr>
        <w:t xml:space="preserve"> tasandi</w:t>
      </w:r>
      <w:r w:rsidRPr="00584480">
        <w:rPr>
          <w:color w:val="538135" w:themeColor="accent6" w:themeShade="BF"/>
          <w:sz w:val="32"/>
          <w:szCs w:val="32"/>
        </w:rPr>
        <w:t xml:space="preserve"> arengudokumendid</w:t>
      </w:r>
    </w:p>
    <w:p w14:paraId="544D681F" w14:textId="76799398" w:rsidR="00A732C5" w:rsidRDefault="00A732C5">
      <w:pPr>
        <w:rPr>
          <w:color w:val="538135" w:themeColor="accent6" w:themeShade="BF"/>
          <w:sz w:val="28"/>
          <w:szCs w:val="28"/>
        </w:rPr>
      </w:pPr>
      <w:r w:rsidRPr="00A732C5">
        <w:rPr>
          <w:color w:val="538135" w:themeColor="accent6" w:themeShade="BF"/>
          <w:sz w:val="28"/>
          <w:szCs w:val="28"/>
        </w:rPr>
        <w:t>Strateegia "Eesti 2035"</w:t>
      </w:r>
    </w:p>
    <w:p w14:paraId="779DE492" w14:textId="2E23E9C6" w:rsidR="00A732C5" w:rsidRDefault="00B73F32" w:rsidP="00B73F32">
      <w:pPr>
        <w:jc w:val="both"/>
      </w:pPr>
      <w:r w:rsidRPr="00B73F32">
        <w:t>„Eesti 2035” on riigi pikaajaline arengustrateegia. Selle eesmärk on kasvatada ja toetada meie inimeste heaolu nii, et Eesti oleks ka kahekümne aasta pärast parim paik elamiseks ja töötamiseks.</w:t>
      </w:r>
      <w:r>
        <w:t xml:space="preserve"> </w:t>
      </w:r>
      <w:r w:rsidRPr="00B73F32">
        <w:t>Strateegias „Eesti 2035“ seatakse viis pikaajalist strateegilist sihti</w:t>
      </w:r>
      <w:r>
        <w:t>:</w:t>
      </w:r>
    </w:p>
    <w:p w14:paraId="32CC20F4" w14:textId="4D45D8E6" w:rsidR="00B73F32" w:rsidRPr="00B73F32" w:rsidRDefault="00B73F32" w:rsidP="00B73F32">
      <w:pPr>
        <w:pStyle w:val="Loendilik"/>
        <w:numPr>
          <w:ilvl w:val="0"/>
          <w:numId w:val="3"/>
        </w:numPr>
        <w:ind w:left="426" w:hanging="426"/>
        <w:jc w:val="both"/>
        <w:rPr>
          <w:rFonts w:cstheme="minorHAnsi"/>
        </w:rPr>
      </w:pPr>
      <w:r w:rsidRPr="00B73F32">
        <w:rPr>
          <w:rFonts w:cstheme="minorHAnsi"/>
          <w:color w:val="000000"/>
          <w:shd w:val="clear" w:color="auto" w:fill="FFFFFF"/>
        </w:rPr>
        <w:t>Eestis elavad arukad, tegusad</w:t>
      </w:r>
      <w:r>
        <w:rPr>
          <w:rFonts w:cstheme="minorHAnsi"/>
          <w:color w:val="000000"/>
          <w:shd w:val="clear" w:color="auto" w:fill="FFFFFF"/>
        </w:rPr>
        <w:t xml:space="preserve"> </w:t>
      </w:r>
      <w:r w:rsidRPr="00B73F32">
        <w:rPr>
          <w:rFonts w:cstheme="minorHAnsi"/>
          <w:color w:val="000000"/>
          <w:shd w:val="clear" w:color="auto" w:fill="FFFFFF"/>
        </w:rPr>
        <w:t xml:space="preserve">ja tervist hoidvad inimesed. </w:t>
      </w:r>
    </w:p>
    <w:p w14:paraId="47F26F2C" w14:textId="5A3563E3" w:rsidR="00B73F32" w:rsidRPr="00B73F32" w:rsidRDefault="00B73F32" w:rsidP="00B73F32">
      <w:pPr>
        <w:pStyle w:val="Loendilik"/>
        <w:numPr>
          <w:ilvl w:val="0"/>
          <w:numId w:val="3"/>
        </w:numPr>
        <w:ind w:left="426" w:hanging="426"/>
        <w:jc w:val="both"/>
        <w:rPr>
          <w:rFonts w:cstheme="minorHAnsi"/>
        </w:rPr>
      </w:pPr>
      <w:r>
        <w:t>Eesti ühiskond on hooliv, koostöömeelne ja avatud</w:t>
      </w:r>
      <w:r>
        <w:t>.</w:t>
      </w:r>
    </w:p>
    <w:p w14:paraId="075D7DCC" w14:textId="77777777" w:rsidR="00B73F32" w:rsidRPr="00B73F32" w:rsidRDefault="00B73F32" w:rsidP="00FE36FE">
      <w:pPr>
        <w:pStyle w:val="Loendilik"/>
        <w:numPr>
          <w:ilvl w:val="0"/>
          <w:numId w:val="3"/>
        </w:numPr>
        <w:ind w:left="426" w:hanging="426"/>
        <w:jc w:val="both"/>
        <w:rPr>
          <w:rFonts w:cstheme="minorHAnsi"/>
        </w:rPr>
      </w:pPr>
      <w:r w:rsidRPr="00B73F32">
        <w:rPr>
          <w:rFonts w:cstheme="minorHAnsi"/>
          <w:color w:val="000000"/>
          <w:shd w:val="clear" w:color="auto" w:fill="FFFFFF"/>
        </w:rPr>
        <w:t>Eesti majandus on tugev, uuendusmeelne</w:t>
      </w:r>
      <w:r w:rsidRPr="00B73F32">
        <w:rPr>
          <w:rFonts w:cstheme="minorHAnsi"/>
          <w:color w:val="000000"/>
          <w:shd w:val="clear" w:color="auto" w:fill="FFFFFF"/>
        </w:rPr>
        <w:t xml:space="preserve"> </w:t>
      </w:r>
      <w:r w:rsidRPr="00B73F32">
        <w:rPr>
          <w:rFonts w:cstheme="minorHAnsi"/>
          <w:color w:val="000000"/>
          <w:shd w:val="clear" w:color="auto" w:fill="FFFFFF"/>
        </w:rPr>
        <w:t>ja vastutustundlik</w:t>
      </w:r>
    </w:p>
    <w:p w14:paraId="5F76ECB1" w14:textId="3F2844B9" w:rsidR="00B73F32" w:rsidRPr="00B73F32" w:rsidRDefault="00B73F32" w:rsidP="00FE36FE">
      <w:pPr>
        <w:pStyle w:val="Loendilik"/>
        <w:numPr>
          <w:ilvl w:val="0"/>
          <w:numId w:val="3"/>
        </w:numPr>
        <w:ind w:left="426" w:hanging="426"/>
        <w:jc w:val="both"/>
        <w:rPr>
          <w:rFonts w:cstheme="minorHAnsi"/>
        </w:rPr>
      </w:pPr>
      <w:r>
        <w:t>Eestis on kõigi vajadusi arvestav, turvaline ja kvaliteetne elukeskkond</w:t>
      </w:r>
    </w:p>
    <w:p w14:paraId="06E13392" w14:textId="256C1576" w:rsidR="00B73F32" w:rsidRPr="008E11B1" w:rsidRDefault="00B73F32" w:rsidP="00FE36FE">
      <w:pPr>
        <w:pStyle w:val="Loendilik"/>
        <w:numPr>
          <w:ilvl w:val="0"/>
          <w:numId w:val="3"/>
        </w:numPr>
        <w:ind w:left="426" w:hanging="426"/>
        <w:jc w:val="both"/>
      </w:pPr>
      <w:r>
        <w:t>Eesti on uuendusmeelne, usaldusväärne ja inimesekeskne riik</w:t>
      </w:r>
    </w:p>
    <w:p w14:paraId="7833B7E7" w14:textId="2E8306EE" w:rsidR="008E11B1" w:rsidRPr="008E11B1" w:rsidRDefault="008E11B1" w:rsidP="008E11B1">
      <w:pPr>
        <w:jc w:val="both"/>
      </w:pPr>
      <w:r>
        <w:t xml:space="preserve">Põlvamaa arengustrateegia 2035+ on igati kooskõlas „Eesti 2035“ strateegiaga ning toetab läbi oma tegevussuundade selle strateegiliste sihtideni jõudmist. Esimese strateegilise sihiga on seotud Põlvamaa arengustrateegia tegevussuunad 1.1.-1.4., teise sihiga eelkõige tegevussuunad 1.3. ning 2.1.-2.4., kolmanda sihiga tegevussuunad 4.1.-5.3., neljanda sihiga tegevussuunad 6.1. ja 6.2. ning viienda sihiga </w:t>
      </w:r>
      <w:r w:rsidR="001A6221">
        <w:t>peamiselt tegevussuund 1.4.</w:t>
      </w:r>
    </w:p>
    <w:p w14:paraId="680E1148" w14:textId="45011DBD" w:rsidR="00E01802" w:rsidRDefault="001A6221" w:rsidP="001A6221">
      <w:pPr>
        <w:spacing w:before="240"/>
        <w:rPr>
          <w:color w:val="538135" w:themeColor="accent6" w:themeShade="BF"/>
          <w:sz w:val="28"/>
          <w:szCs w:val="28"/>
        </w:rPr>
      </w:pPr>
      <w:r>
        <w:rPr>
          <w:color w:val="538135" w:themeColor="accent6" w:themeShade="BF"/>
          <w:sz w:val="28"/>
          <w:szCs w:val="28"/>
        </w:rPr>
        <w:t>Ü</w:t>
      </w:r>
      <w:r w:rsidR="00E01802" w:rsidRPr="00E01802">
        <w:rPr>
          <w:color w:val="538135" w:themeColor="accent6" w:themeShade="BF"/>
          <w:sz w:val="28"/>
          <w:szCs w:val="28"/>
        </w:rPr>
        <w:t>leriigiline planeering „Eesti 2030+”</w:t>
      </w:r>
    </w:p>
    <w:p w14:paraId="2BB9AAA3" w14:textId="436EB096" w:rsidR="00E01802" w:rsidRPr="00E01802" w:rsidRDefault="00E01802" w:rsidP="00E01802">
      <w:r w:rsidRPr="00E01802">
        <w:t xml:space="preserve">Üleriigilise planeeringu </w:t>
      </w:r>
      <w:r>
        <w:t xml:space="preserve">kaks esimest </w:t>
      </w:r>
      <w:r w:rsidRPr="00E01802">
        <w:t>põhisu</w:t>
      </w:r>
      <w:r>
        <w:t>unda on:</w:t>
      </w:r>
    </w:p>
    <w:p w14:paraId="0CD40037" w14:textId="77777777" w:rsidR="00E01802" w:rsidRPr="00E01802" w:rsidRDefault="00E01802" w:rsidP="00E01802">
      <w:pPr>
        <w:pStyle w:val="Loendilik"/>
        <w:numPr>
          <w:ilvl w:val="0"/>
          <w:numId w:val="2"/>
        </w:numPr>
        <w:ind w:left="426" w:hanging="437"/>
        <w:jc w:val="both"/>
      </w:pPr>
      <w:r w:rsidRPr="00E01802">
        <w:t>Tasakaalustatud ja kestlik asustuse areng, mis eeldab olemasolevale asustusstruktuurile toetuva mitmekesise ja valikuvõimalusi pakkuva elu- ja majanduskeskkonna kujundamist ning töökohtade, haridusasutuste ja mitmesuguste teenuste kättesaadavuse tagamist toimepiirkondade sisese ja omavahelise sidustamise kaudu</w:t>
      </w:r>
    </w:p>
    <w:p w14:paraId="3BF5F82B" w14:textId="08794A1B" w:rsidR="00E01802" w:rsidRDefault="00E01802" w:rsidP="00E01802">
      <w:pPr>
        <w:pStyle w:val="Loendilik"/>
        <w:numPr>
          <w:ilvl w:val="0"/>
          <w:numId w:val="2"/>
        </w:numPr>
        <w:ind w:left="426" w:hanging="437"/>
        <w:jc w:val="both"/>
      </w:pPr>
      <w:r w:rsidRPr="00E01802">
        <w:t>Head ja mugavad liikumisvõimalused, mis eeldab teenuste, haridusasutuste ja töökohtade kättesaadavuse tagamist läbi toimepiirkondade sisese ja omavahelise sidustamise kestlike transpordiliikide abil, kiire, piisava sagedusega ja mugava ühenduse tagamise läbi välismaailmaga ning läbi erinevate transpordiliikide tasakaalustatud kasutamise, arvestades piirkondlikke eripärasid</w:t>
      </w:r>
    </w:p>
    <w:p w14:paraId="301C9898" w14:textId="33BFB4AB" w:rsidR="00E01802" w:rsidRDefault="00E01802" w:rsidP="00E01802">
      <w:pPr>
        <w:ind w:left="-11"/>
        <w:jc w:val="both"/>
        <w:rPr>
          <w:rFonts w:cs="Times New Roman"/>
        </w:rPr>
      </w:pPr>
      <w:r>
        <w:t xml:space="preserve">Neil kahel põhisuunal on tugev </w:t>
      </w:r>
      <w:r w:rsidRPr="007040A1">
        <w:rPr>
          <w:rFonts w:cs="Times New Roman"/>
        </w:rPr>
        <w:t>seos Põlvamaa arengustrateegia 2035+</w:t>
      </w:r>
      <w:r>
        <w:rPr>
          <w:rFonts w:cs="Times New Roman"/>
        </w:rPr>
        <w:t xml:space="preserve"> kuuenda strateegilise eesmärgi „</w:t>
      </w:r>
      <w:r w:rsidRPr="00E01802">
        <w:rPr>
          <w:rFonts w:cs="Times New Roman"/>
        </w:rPr>
        <w:t>Atraktiivse ja loodussäästliku elu- ja ettevõtluskeskkonnaga maakond</w:t>
      </w:r>
      <w:r>
        <w:rPr>
          <w:rFonts w:cs="Times New Roman"/>
        </w:rPr>
        <w:t>“ ja selle kahe tegevussuunaga.</w:t>
      </w:r>
    </w:p>
    <w:p w14:paraId="192C6323" w14:textId="7DDF305F" w:rsidR="00E01802" w:rsidRDefault="00E01802" w:rsidP="001A6221">
      <w:pPr>
        <w:spacing w:before="240"/>
        <w:ind w:left="-11"/>
        <w:jc w:val="both"/>
        <w:rPr>
          <w:rFonts w:cs="Times New Roman"/>
        </w:rPr>
      </w:pPr>
      <w:r w:rsidRPr="00E01802">
        <w:rPr>
          <w:color w:val="538135" w:themeColor="accent6" w:themeShade="BF"/>
          <w:sz w:val="28"/>
          <w:szCs w:val="28"/>
        </w:rPr>
        <w:t>Eesti teadus- ja arendustegevuse, innovatsiooni ning ettevõtluse arengukava 2021–2035</w:t>
      </w:r>
    </w:p>
    <w:p w14:paraId="04330369" w14:textId="5C151E36" w:rsidR="00E01802" w:rsidRDefault="0084003A" w:rsidP="0084003A">
      <w:pPr>
        <w:ind w:left="-11"/>
        <w:jc w:val="both"/>
        <w:rPr>
          <w:rFonts w:cs="Times New Roman"/>
        </w:rPr>
      </w:pPr>
      <w:r>
        <w:rPr>
          <w:rFonts w:cs="Times New Roman"/>
        </w:rPr>
        <w:t>Arengukava üldeesmärk</w:t>
      </w:r>
      <w:r w:rsidR="00802A8A">
        <w:rPr>
          <w:rFonts w:cs="Times New Roman"/>
        </w:rPr>
        <w:t>:</w:t>
      </w:r>
      <w:r>
        <w:rPr>
          <w:rFonts w:cs="Times New Roman"/>
        </w:rPr>
        <w:t xml:space="preserve"> </w:t>
      </w:r>
      <w:r w:rsidR="00802A8A">
        <w:rPr>
          <w:rFonts w:cs="Times New Roman"/>
        </w:rPr>
        <w:t>„</w:t>
      </w:r>
      <w:r w:rsidRPr="0084003A">
        <w:rPr>
          <w:rFonts w:cs="Times New Roman"/>
        </w:rPr>
        <w:t>Eesti teadus, arendustegevus, innovatsioon ja ettevõtlus suurendavad koostoimes</w:t>
      </w:r>
      <w:r>
        <w:rPr>
          <w:rFonts w:cs="Times New Roman"/>
        </w:rPr>
        <w:t xml:space="preserve"> </w:t>
      </w:r>
      <w:r w:rsidRPr="0084003A">
        <w:rPr>
          <w:rFonts w:cs="Times New Roman"/>
        </w:rPr>
        <w:t>Eesti ühiskonna heaolu ja majanduse tootlikkust, pakkudes konkurentsivõimelisi ja kestlikke</w:t>
      </w:r>
      <w:r>
        <w:rPr>
          <w:rFonts w:cs="Times New Roman"/>
        </w:rPr>
        <w:t xml:space="preserve"> </w:t>
      </w:r>
      <w:r w:rsidRPr="0084003A">
        <w:rPr>
          <w:rFonts w:cs="Times New Roman"/>
        </w:rPr>
        <w:t>lahendusi Eesti ja maailma arenguvajadustele.</w:t>
      </w:r>
      <w:r w:rsidR="00802A8A">
        <w:rPr>
          <w:rFonts w:cs="Times New Roman"/>
        </w:rPr>
        <w:t>“</w:t>
      </w:r>
    </w:p>
    <w:p w14:paraId="23E21AC9" w14:textId="7E3039C9" w:rsidR="0084003A" w:rsidRDefault="0084003A" w:rsidP="0084003A">
      <w:pPr>
        <w:ind w:left="-11"/>
        <w:jc w:val="both"/>
        <w:rPr>
          <w:rFonts w:cs="Times New Roman"/>
        </w:rPr>
      </w:pPr>
      <w:r>
        <w:rPr>
          <w:rFonts w:cs="Times New Roman"/>
        </w:rPr>
        <w:t xml:space="preserve">Arengukaval on kolm alaeesmärki, millest üks – </w:t>
      </w:r>
      <w:r w:rsidRPr="0084003A">
        <w:rPr>
          <w:rFonts w:cs="Times New Roman"/>
        </w:rPr>
        <w:t>Eesti ettevõtluskeskkond soodustab ettevõtlikkust ning teadmusmahuka ettevõtluse</w:t>
      </w:r>
      <w:r>
        <w:rPr>
          <w:rFonts w:cs="Times New Roman"/>
        </w:rPr>
        <w:t xml:space="preserve"> </w:t>
      </w:r>
      <w:r w:rsidRPr="0084003A">
        <w:rPr>
          <w:rFonts w:cs="Times New Roman"/>
        </w:rPr>
        <w:t>teket ja kasvu, kõrgema lisandväärtusega toodete ja teenuste loomist ja eksporti ning</w:t>
      </w:r>
      <w:r>
        <w:rPr>
          <w:rFonts w:cs="Times New Roman"/>
        </w:rPr>
        <w:t xml:space="preserve"> </w:t>
      </w:r>
      <w:r w:rsidRPr="0084003A">
        <w:rPr>
          <w:rFonts w:cs="Times New Roman"/>
        </w:rPr>
        <w:t>investeeringuid kõigis Eesti piirkondades</w:t>
      </w:r>
      <w:r>
        <w:rPr>
          <w:rFonts w:cs="Times New Roman"/>
        </w:rPr>
        <w:t xml:space="preserve">. </w:t>
      </w:r>
    </w:p>
    <w:p w14:paraId="1B25E23C" w14:textId="7D3D5433" w:rsidR="0084003A" w:rsidRDefault="0084003A" w:rsidP="0084003A">
      <w:pPr>
        <w:ind w:left="-11"/>
        <w:jc w:val="both"/>
        <w:rPr>
          <w:rFonts w:cs="Times New Roman"/>
        </w:rPr>
      </w:pPr>
      <w:r>
        <w:rPr>
          <w:rFonts w:cs="Times New Roman"/>
        </w:rPr>
        <w:t>Seda alaeesmärki aitab Põlvamaa arengustrateegias täita peamiselt neljas strateegiline eesmärk  „</w:t>
      </w:r>
      <w:r w:rsidRPr="0084003A">
        <w:rPr>
          <w:rFonts w:cs="Times New Roman"/>
        </w:rPr>
        <w:t>Kestlikke ärimudeleid rakendavata ettevõtetega maakond</w:t>
      </w:r>
      <w:r>
        <w:rPr>
          <w:rFonts w:cs="Times New Roman"/>
        </w:rPr>
        <w:t>“ oma tegevussuundadega, ent seda toetab oluliselt ka viies strateegiline eesmärk „</w:t>
      </w:r>
      <w:r w:rsidRPr="0084003A">
        <w:rPr>
          <w:rFonts w:cs="Times New Roman"/>
        </w:rPr>
        <w:t>Mitmekülgse ettevõtlussektoriga maakond</w:t>
      </w:r>
      <w:r>
        <w:rPr>
          <w:rFonts w:cs="Times New Roman"/>
        </w:rPr>
        <w:t>“.</w:t>
      </w:r>
    </w:p>
    <w:p w14:paraId="76DA9987" w14:textId="0F05EDD9" w:rsidR="00E01802" w:rsidRDefault="00E01802" w:rsidP="001A6221">
      <w:pPr>
        <w:spacing w:before="240"/>
        <w:ind w:left="-11"/>
        <w:jc w:val="both"/>
        <w:rPr>
          <w:rFonts w:cs="Times New Roman"/>
        </w:rPr>
      </w:pPr>
      <w:r w:rsidRPr="00E01802">
        <w:rPr>
          <w:color w:val="538135" w:themeColor="accent6" w:themeShade="BF"/>
          <w:sz w:val="28"/>
          <w:szCs w:val="28"/>
        </w:rPr>
        <w:lastRenderedPageBreak/>
        <w:t>Haridusvaldkonna arengukava 2021-2035</w:t>
      </w:r>
    </w:p>
    <w:p w14:paraId="7FC545D0" w14:textId="582E41A4" w:rsidR="00802A8A" w:rsidRDefault="00802A8A" w:rsidP="00802A8A">
      <w:pPr>
        <w:ind w:left="-11"/>
        <w:jc w:val="both"/>
        <w:rPr>
          <w:rFonts w:cs="Times New Roman"/>
        </w:rPr>
      </w:pPr>
      <w:r w:rsidRPr="00802A8A">
        <w:rPr>
          <w:rFonts w:cs="Times New Roman"/>
        </w:rPr>
        <w:t>Haridusvaldkonna arengukava 2021–2035 on Eesti elukestva õppe strateegia 2020 jätkustrateegia,</w:t>
      </w:r>
      <w:r>
        <w:rPr>
          <w:rFonts w:cs="Times New Roman"/>
        </w:rPr>
        <w:t xml:space="preserve"> </w:t>
      </w:r>
      <w:r>
        <w:t>milles seatakse hariduse sihid</w:t>
      </w:r>
      <w:r>
        <w:t xml:space="preserve"> aastani 2035.</w:t>
      </w:r>
    </w:p>
    <w:p w14:paraId="46500109" w14:textId="1AD1DAD8" w:rsidR="00E01802" w:rsidRDefault="00802A8A" w:rsidP="00802A8A">
      <w:pPr>
        <w:ind w:left="-11"/>
        <w:jc w:val="both"/>
        <w:rPr>
          <w:rFonts w:cs="Times New Roman"/>
        </w:rPr>
      </w:pPr>
      <w:r>
        <w:rPr>
          <w:rFonts w:cs="Times New Roman"/>
        </w:rPr>
        <w:t>Arengukava üldeesmärk: „</w:t>
      </w:r>
      <w:r w:rsidRPr="00802A8A">
        <w:rPr>
          <w:rFonts w:cs="Times New Roman"/>
        </w:rPr>
        <w:t>Eesti inimestel on teadmised, oskused ja hoiakud, mis võimaldavad teostada end isiklikus elus, töös ja</w:t>
      </w:r>
      <w:r>
        <w:rPr>
          <w:rFonts w:cs="Times New Roman"/>
        </w:rPr>
        <w:t xml:space="preserve"> </w:t>
      </w:r>
      <w:r w:rsidRPr="00802A8A">
        <w:rPr>
          <w:rFonts w:cs="Times New Roman"/>
        </w:rPr>
        <w:t>ühiskonnas ning toetavad Eesti elu edendamist ja üleilmset säästvat arengut</w:t>
      </w:r>
      <w:r>
        <w:rPr>
          <w:rFonts w:cs="Times New Roman"/>
        </w:rPr>
        <w:t>.“</w:t>
      </w:r>
    </w:p>
    <w:p w14:paraId="374D682C" w14:textId="77777777" w:rsidR="00802A8A" w:rsidRDefault="00802A8A" w:rsidP="00802A8A">
      <w:pPr>
        <w:ind w:left="-11"/>
        <w:jc w:val="both"/>
        <w:rPr>
          <w:rFonts w:cs="Times New Roman"/>
        </w:rPr>
      </w:pPr>
      <w:r w:rsidRPr="00802A8A">
        <w:rPr>
          <w:rFonts w:cs="Times New Roman"/>
        </w:rPr>
        <w:t>Üldeesmärgi saavutamist toetavad kolm strateegilist eesmärki:</w:t>
      </w:r>
      <w:r w:rsidRPr="00802A8A">
        <w:rPr>
          <w:rFonts w:cs="Times New Roman"/>
        </w:rPr>
        <w:t xml:space="preserve"> </w:t>
      </w:r>
    </w:p>
    <w:p w14:paraId="3B1F87C6" w14:textId="684840A2" w:rsidR="00802A8A" w:rsidRPr="00802A8A" w:rsidRDefault="00802A8A" w:rsidP="00802A8A">
      <w:pPr>
        <w:pStyle w:val="Loendilik"/>
        <w:numPr>
          <w:ilvl w:val="0"/>
          <w:numId w:val="4"/>
        </w:numPr>
        <w:ind w:left="426" w:hanging="426"/>
        <w:jc w:val="both"/>
        <w:rPr>
          <w:rFonts w:cs="Times New Roman"/>
        </w:rPr>
      </w:pPr>
      <w:r w:rsidRPr="00802A8A">
        <w:rPr>
          <w:rFonts w:cs="Times New Roman"/>
        </w:rPr>
        <w:t>Õpivõimalused on valikurohked ja</w:t>
      </w:r>
      <w:r w:rsidRPr="00802A8A">
        <w:rPr>
          <w:rFonts w:cs="Times New Roman"/>
        </w:rPr>
        <w:t xml:space="preserve"> </w:t>
      </w:r>
      <w:r w:rsidRPr="00802A8A">
        <w:rPr>
          <w:rFonts w:cs="Times New Roman"/>
        </w:rPr>
        <w:t>kättesaadavad ning haridussüsteem võimaldab sujuvat liikumist</w:t>
      </w:r>
      <w:r w:rsidRPr="00802A8A">
        <w:rPr>
          <w:rFonts w:cs="Times New Roman"/>
        </w:rPr>
        <w:t xml:space="preserve"> </w:t>
      </w:r>
      <w:r w:rsidRPr="00802A8A">
        <w:rPr>
          <w:rFonts w:cs="Times New Roman"/>
        </w:rPr>
        <w:t>haridustasemete ja -liikide vahel</w:t>
      </w:r>
      <w:r>
        <w:rPr>
          <w:rFonts w:cs="Times New Roman"/>
        </w:rPr>
        <w:t>.</w:t>
      </w:r>
    </w:p>
    <w:p w14:paraId="32A19FF1" w14:textId="36E46F87" w:rsidR="00802A8A" w:rsidRPr="00802A8A" w:rsidRDefault="00802A8A" w:rsidP="00802A8A">
      <w:pPr>
        <w:pStyle w:val="Loendilik"/>
        <w:numPr>
          <w:ilvl w:val="0"/>
          <w:numId w:val="4"/>
        </w:numPr>
        <w:ind w:left="426" w:hanging="426"/>
        <w:jc w:val="both"/>
        <w:rPr>
          <w:rFonts w:cs="Times New Roman"/>
        </w:rPr>
      </w:pPr>
      <w:r w:rsidRPr="00802A8A">
        <w:rPr>
          <w:rFonts w:cs="Times New Roman"/>
        </w:rPr>
        <w:t>Eestis on pädevad ja motiveeritud õpetajad ja</w:t>
      </w:r>
      <w:r w:rsidRPr="00802A8A">
        <w:rPr>
          <w:rFonts w:cs="Times New Roman"/>
        </w:rPr>
        <w:t xml:space="preserve"> </w:t>
      </w:r>
      <w:r w:rsidRPr="00802A8A">
        <w:rPr>
          <w:rFonts w:cs="Times New Roman"/>
        </w:rPr>
        <w:t>koolijuhid, mitmekesine õpikeskkond ning õppijast lähtuv õpe</w:t>
      </w:r>
      <w:r>
        <w:rPr>
          <w:rFonts w:cs="Times New Roman"/>
        </w:rPr>
        <w:t>.</w:t>
      </w:r>
    </w:p>
    <w:p w14:paraId="4507721A" w14:textId="74975E5D" w:rsidR="00802A8A" w:rsidRPr="00802A8A" w:rsidRDefault="00802A8A" w:rsidP="00802A8A">
      <w:pPr>
        <w:pStyle w:val="Loendilik"/>
        <w:numPr>
          <w:ilvl w:val="0"/>
          <w:numId w:val="4"/>
        </w:numPr>
        <w:ind w:left="426" w:hanging="426"/>
        <w:jc w:val="both"/>
        <w:rPr>
          <w:rFonts w:cs="Times New Roman"/>
        </w:rPr>
      </w:pPr>
      <w:r w:rsidRPr="00802A8A">
        <w:rPr>
          <w:rFonts w:cs="Times New Roman"/>
        </w:rPr>
        <w:t>Õpivõimalused vastavad ühiskonna ja tööturu</w:t>
      </w:r>
      <w:r w:rsidRPr="00802A8A">
        <w:rPr>
          <w:rFonts w:cs="Times New Roman"/>
        </w:rPr>
        <w:t xml:space="preserve"> </w:t>
      </w:r>
      <w:r w:rsidRPr="00802A8A">
        <w:rPr>
          <w:rFonts w:cs="Times New Roman"/>
        </w:rPr>
        <w:t>arenguvajadustele</w:t>
      </w:r>
      <w:r>
        <w:rPr>
          <w:rFonts w:cs="Times New Roman"/>
        </w:rPr>
        <w:t>.</w:t>
      </w:r>
    </w:p>
    <w:p w14:paraId="10170B50" w14:textId="39F57FD8" w:rsidR="00E01802" w:rsidRDefault="00802A8A" w:rsidP="00E01802">
      <w:pPr>
        <w:ind w:left="-11"/>
        <w:jc w:val="both"/>
        <w:rPr>
          <w:rFonts w:cs="Times New Roman"/>
        </w:rPr>
      </w:pPr>
      <w:r>
        <w:rPr>
          <w:rFonts w:cs="Times New Roman"/>
        </w:rPr>
        <w:t>Põlvamaa arengustrateegia on haridusvaldkonna arengukavaga kooskõlas, ning selle üldeesmärgi ja strateegiliste eesmärkide täitmisesse panustab Põlvamaa arengustrateegias tegevussuund 1.1. „</w:t>
      </w:r>
      <w:r w:rsidRPr="00802A8A">
        <w:rPr>
          <w:rFonts w:cs="Times New Roman"/>
        </w:rPr>
        <w:t>Kvaliteetsed ja mitmekülgsed õppimisvõimalused kogu elukaare vältel</w:t>
      </w:r>
      <w:r>
        <w:rPr>
          <w:rFonts w:cs="Times New Roman"/>
        </w:rPr>
        <w:t>“.</w:t>
      </w:r>
    </w:p>
    <w:p w14:paraId="29764F67" w14:textId="3655A6B8" w:rsidR="00E01802" w:rsidRDefault="00E01802" w:rsidP="001A6221">
      <w:pPr>
        <w:spacing w:before="240"/>
        <w:ind w:left="-11"/>
        <w:jc w:val="both"/>
        <w:rPr>
          <w:rFonts w:cs="Times New Roman"/>
        </w:rPr>
      </w:pPr>
      <w:r w:rsidRPr="00E01802">
        <w:rPr>
          <w:color w:val="538135" w:themeColor="accent6" w:themeShade="BF"/>
          <w:sz w:val="28"/>
          <w:szCs w:val="28"/>
        </w:rPr>
        <w:t>Kultuuri arengukavaga 2021 – 2030</w:t>
      </w:r>
    </w:p>
    <w:p w14:paraId="4B230F3D" w14:textId="225B1218" w:rsidR="00E01802" w:rsidRDefault="00802A8A" w:rsidP="00802A8A">
      <w:pPr>
        <w:ind w:left="-11"/>
        <w:jc w:val="both"/>
        <w:rPr>
          <w:rFonts w:cs="Times New Roman"/>
        </w:rPr>
      </w:pPr>
      <w:r w:rsidRPr="00802A8A">
        <w:rPr>
          <w:rFonts w:cs="Times New Roman"/>
        </w:rPr>
        <w:t>Kultuuri arengukava 2021</w:t>
      </w:r>
      <w:r>
        <w:rPr>
          <w:rFonts w:cs="Times New Roman"/>
        </w:rPr>
        <w:t>-</w:t>
      </w:r>
      <w:r w:rsidRPr="00802A8A">
        <w:rPr>
          <w:rFonts w:cs="Times New Roman"/>
        </w:rPr>
        <w:t>2030 on kultuuri valdkonnas</w:t>
      </w:r>
      <w:r>
        <w:rPr>
          <w:rFonts w:cs="Times New Roman"/>
        </w:rPr>
        <w:t xml:space="preserve"> </w:t>
      </w:r>
      <w:r w:rsidRPr="00802A8A">
        <w:rPr>
          <w:rFonts w:cs="Times New Roman"/>
        </w:rPr>
        <w:t>strateegilisi sihte seadev dokument, mis on jätkustrateegiaks dokumendile Kultuuripoliitika põhialused aastani 2020</w:t>
      </w:r>
      <w:r>
        <w:rPr>
          <w:rFonts w:cs="Times New Roman"/>
        </w:rPr>
        <w:t>.</w:t>
      </w:r>
    </w:p>
    <w:p w14:paraId="4829B53B" w14:textId="257A2F4C" w:rsidR="00E01802" w:rsidRDefault="00936898" w:rsidP="00936898">
      <w:pPr>
        <w:ind w:left="-11"/>
        <w:jc w:val="both"/>
        <w:rPr>
          <w:rFonts w:cs="Times New Roman"/>
        </w:rPr>
      </w:pPr>
      <w:r>
        <w:rPr>
          <w:rFonts w:cs="Times New Roman"/>
        </w:rPr>
        <w:t>Arengukava üldeesmärk: „</w:t>
      </w:r>
      <w:r w:rsidRPr="00936898">
        <w:rPr>
          <w:rFonts w:cs="Times New Roman"/>
        </w:rPr>
        <w:t>EESTI KULTUUR on elujõuline, arenev ja</w:t>
      </w:r>
      <w:r>
        <w:rPr>
          <w:rFonts w:cs="Times New Roman"/>
        </w:rPr>
        <w:t xml:space="preserve"> </w:t>
      </w:r>
      <w:r w:rsidRPr="00936898">
        <w:rPr>
          <w:rFonts w:cs="Times New Roman"/>
        </w:rPr>
        <w:t>maailmale avatud ning kultuuris osalemine</w:t>
      </w:r>
      <w:r>
        <w:rPr>
          <w:rFonts w:cs="Times New Roman"/>
        </w:rPr>
        <w:t xml:space="preserve"> </w:t>
      </w:r>
      <w:r w:rsidRPr="00936898">
        <w:rPr>
          <w:rFonts w:cs="Times New Roman"/>
        </w:rPr>
        <w:t>on loomulik osa iga inimese elus.</w:t>
      </w:r>
      <w:r>
        <w:rPr>
          <w:rFonts w:cs="Times New Roman"/>
        </w:rPr>
        <w:t>“</w:t>
      </w:r>
    </w:p>
    <w:p w14:paraId="5B752A29" w14:textId="57DD38E3" w:rsidR="00936898" w:rsidRPr="00936898" w:rsidRDefault="00936898" w:rsidP="00936898">
      <w:pPr>
        <w:jc w:val="both"/>
        <w:rPr>
          <w:rFonts w:cs="Times New Roman"/>
        </w:rPr>
      </w:pPr>
      <w:r w:rsidRPr="00936898">
        <w:rPr>
          <w:rFonts w:cs="Times New Roman"/>
        </w:rPr>
        <w:t>Üldeesmärgi saavutamist toetavad kolm</w:t>
      </w:r>
      <w:r w:rsidRPr="00936898">
        <w:rPr>
          <w:rFonts w:cs="Times New Roman"/>
        </w:rPr>
        <w:t xml:space="preserve"> alaeesmärki:</w:t>
      </w:r>
    </w:p>
    <w:p w14:paraId="5CDC4836" w14:textId="42A7A852" w:rsidR="00936898" w:rsidRPr="00936898" w:rsidRDefault="00936898" w:rsidP="00936898">
      <w:pPr>
        <w:pStyle w:val="Loendilik"/>
        <w:numPr>
          <w:ilvl w:val="0"/>
          <w:numId w:val="5"/>
        </w:numPr>
        <w:ind w:left="426" w:hanging="426"/>
        <w:jc w:val="both"/>
        <w:rPr>
          <w:rFonts w:cs="Times New Roman"/>
        </w:rPr>
      </w:pPr>
      <w:r w:rsidRPr="00936898">
        <w:rPr>
          <w:rFonts w:cs="Times New Roman"/>
        </w:rPr>
        <w:t>Eesti kultuurielu on tugev ja toimiv</w:t>
      </w:r>
      <w:r>
        <w:rPr>
          <w:rFonts w:cs="Times New Roman"/>
        </w:rPr>
        <w:t>.</w:t>
      </w:r>
    </w:p>
    <w:p w14:paraId="489144E4" w14:textId="2251BA9A" w:rsidR="00936898" w:rsidRDefault="00936898" w:rsidP="00936898">
      <w:pPr>
        <w:pStyle w:val="Loendilik"/>
        <w:numPr>
          <w:ilvl w:val="0"/>
          <w:numId w:val="5"/>
        </w:numPr>
        <w:spacing w:before="240"/>
        <w:ind w:left="426" w:hanging="426"/>
        <w:jc w:val="both"/>
      </w:pPr>
      <w:r>
        <w:t xml:space="preserve">Eesti kultuurimälu on hoitud ja hinnatud </w:t>
      </w:r>
      <w:r>
        <w:t>..</w:t>
      </w:r>
    </w:p>
    <w:p w14:paraId="68F6023C" w14:textId="34707944" w:rsidR="00936898" w:rsidRDefault="00936898" w:rsidP="00936898">
      <w:pPr>
        <w:pStyle w:val="Loendilik"/>
        <w:numPr>
          <w:ilvl w:val="0"/>
          <w:numId w:val="5"/>
        </w:numPr>
        <w:spacing w:before="240"/>
        <w:ind w:left="426" w:hanging="426"/>
        <w:jc w:val="both"/>
      </w:pPr>
      <w:r w:rsidRPr="00936898">
        <w:t>Kultuuri ja loovuse roll ühiskonna arengus on väärtustatud</w:t>
      </w:r>
      <w:r>
        <w:t>.</w:t>
      </w:r>
    </w:p>
    <w:p w14:paraId="384C389E" w14:textId="18B71B3D" w:rsidR="00936898" w:rsidRDefault="00936898" w:rsidP="001A6221">
      <w:pPr>
        <w:spacing w:before="240"/>
        <w:ind w:left="-11"/>
        <w:jc w:val="both"/>
      </w:pPr>
      <w:r>
        <w:rPr>
          <w:rFonts w:cs="Times New Roman"/>
        </w:rPr>
        <w:t xml:space="preserve">Põlvamaa arengustrateegia on </w:t>
      </w:r>
      <w:r>
        <w:rPr>
          <w:rFonts w:cs="Times New Roman"/>
        </w:rPr>
        <w:t>kultuuri</w:t>
      </w:r>
      <w:r>
        <w:rPr>
          <w:rFonts w:cs="Times New Roman"/>
        </w:rPr>
        <w:t xml:space="preserve"> arengukavaga kooskõlas, ning selle üldeesmärgi ja strateegiliste eesmärkide täitmisesse panusta</w:t>
      </w:r>
      <w:r w:rsidR="00037F02">
        <w:rPr>
          <w:rFonts w:cs="Times New Roman"/>
        </w:rPr>
        <w:t>vad</w:t>
      </w:r>
      <w:r>
        <w:rPr>
          <w:rFonts w:cs="Times New Roman"/>
        </w:rPr>
        <w:t xml:space="preserve"> Põlvamaa arengustrateegias tegevussuun</w:t>
      </w:r>
      <w:r>
        <w:rPr>
          <w:rFonts w:cs="Times New Roman"/>
        </w:rPr>
        <w:t>ad 1.2. „</w:t>
      </w:r>
      <w:r w:rsidRPr="00936898">
        <w:rPr>
          <w:rFonts w:cs="Times New Roman"/>
        </w:rPr>
        <w:t>Mitmekülgsed  võimalused, tingimused ja tugi aktiivse elu korraldamiseks ja selles osalemiseks</w:t>
      </w:r>
      <w:r>
        <w:rPr>
          <w:rFonts w:cs="Times New Roman"/>
        </w:rPr>
        <w:t>“, 1.4. „</w:t>
      </w:r>
      <w:r w:rsidRPr="00936898">
        <w:rPr>
          <w:rFonts w:cs="Times New Roman"/>
        </w:rPr>
        <w:t>Professionaalsed, motiveeritud ja tugitud eestvedajad, juhendajad ja ametnikud</w:t>
      </w:r>
      <w:r>
        <w:rPr>
          <w:rFonts w:cs="Times New Roman"/>
        </w:rPr>
        <w:t>“, 3.1. „</w:t>
      </w:r>
      <w:r w:rsidRPr="00936898">
        <w:rPr>
          <w:rFonts w:cs="Times New Roman"/>
        </w:rPr>
        <w:t>Põlvamaa kultuurielu rolli suurendamine maakonna kuvandi kujundamises</w:t>
      </w:r>
      <w:r>
        <w:rPr>
          <w:rFonts w:cs="Times New Roman"/>
        </w:rPr>
        <w:t>“ ning 5.3. „</w:t>
      </w:r>
      <w:r w:rsidRPr="00936898">
        <w:rPr>
          <w:rFonts w:cs="Times New Roman"/>
        </w:rPr>
        <w:t>Puhke- ja loomemajanduse potentsiaali parem ärakasutamine</w:t>
      </w:r>
      <w:r>
        <w:rPr>
          <w:rFonts w:cs="Times New Roman"/>
        </w:rPr>
        <w:t xml:space="preserve">“. </w:t>
      </w:r>
    </w:p>
    <w:p w14:paraId="0506705E" w14:textId="307661C3" w:rsidR="00E01802" w:rsidRPr="00E01802" w:rsidRDefault="00E01802" w:rsidP="001A6221">
      <w:pPr>
        <w:spacing w:before="240"/>
        <w:ind w:left="-11"/>
        <w:jc w:val="both"/>
        <w:rPr>
          <w:color w:val="538135" w:themeColor="accent6" w:themeShade="BF"/>
          <w:sz w:val="28"/>
          <w:szCs w:val="28"/>
        </w:rPr>
      </w:pPr>
      <w:r w:rsidRPr="00E01802">
        <w:rPr>
          <w:color w:val="538135" w:themeColor="accent6" w:themeShade="BF"/>
          <w:sz w:val="28"/>
          <w:szCs w:val="28"/>
        </w:rPr>
        <w:t>Noortevaldkonna arengukava 2021–2035</w:t>
      </w:r>
    </w:p>
    <w:p w14:paraId="4ADF1103" w14:textId="64E07EBB" w:rsidR="00037F02" w:rsidRPr="00037F02" w:rsidRDefault="00037F02" w:rsidP="00037F02">
      <w:pPr>
        <w:ind w:left="-11"/>
        <w:jc w:val="both"/>
        <w:rPr>
          <w:rFonts w:cs="Times New Roman"/>
        </w:rPr>
      </w:pPr>
      <w:r>
        <w:rPr>
          <w:rFonts w:cs="Times New Roman"/>
        </w:rPr>
        <w:t>Noortevaldkonna v</w:t>
      </w:r>
      <w:r w:rsidRPr="00037F02">
        <w:rPr>
          <w:rFonts w:cs="Times New Roman"/>
        </w:rPr>
        <w:t>isioon</w:t>
      </w:r>
      <w:r>
        <w:rPr>
          <w:rFonts w:cs="Times New Roman"/>
        </w:rPr>
        <w:t>: „</w:t>
      </w:r>
      <w:r w:rsidRPr="00037F02">
        <w:rPr>
          <w:rFonts w:cs="Times New Roman"/>
        </w:rPr>
        <w:t>Aastal 2035 elavad noored kõigis Eesti piirkondades tervislikku ja täisväärtuslikku elu ning on võimestatud muutma</w:t>
      </w:r>
      <w:r>
        <w:rPr>
          <w:rFonts w:cs="Times New Roman"/>
        </w:rPr>
        <w:t xml:space="preserve"> </w:t>
      </w:r>
      <w:r w:rsidRPr="00037F02">
        <w:rPr>
          <w:rFonts w:cs="Times New Roman"/>
        </w:rPr>
        <w:t>kogukonda ja riiki selliselt, et Eestis on maailma parim keskkond kasvamiseks, elamiseks ja eneseteostuseks.</w:t>
      </w:r>
      <w:r>
        <w:rPr>
          <w:rFonts w:cs="Times New Roman"/>
        </w:rPr>
        <w:t>“</w:t>
      </w:r>
    </w:p>
    <w:p w14:paraId="5BB04E19" w14:textId="16D2BE07" w:rsidR="00E01802" w:rsidRDefault="00037F02" w:rsidP="00E01802">
      <w:pPr>
        <w:ind w:left="-11"/>
        <w:jc w:val="both"/>
        <w:rPr>
          <w:rFonts w:cs="Times New Roman"/>
        </w:rPr>
      </w:pPr>
      <w:r>
        <w:rPr>
          <w:rFonts w:cs="Times New Roman"/>
        </w:rPr>
        <w:t>Arengukava üldeesmärk: „</w:t>
      </w:r>
      <w:r w:rsidRPr="00037F02">
        <w:rPr>
          <w:rFonts w:cs="Times New Roman"/>
        </w:rPr>
        <w:t>Noore avarad arenguvõimalused, turvatunne ja kindel tugi loovad Eestit, mida noor tahab edasi viia.</w:t>
      </w:r>
      <w:r>
        <w:rPr>
          <w:rFonts w:cs="Times New Roman"/>
        </w:rPr>
        <w:t>“</w:t>
      </w:r>
    </w:p>
    <w:p w14:paraId="72F636B7" w14:textId="6909B04A" w:rsidR="00E01802" w:rsidRDefault="00037F02" w:rsidP="00E01802">
      <w:pPr>
        <w:ind w:left="-11"/>
        <w:jc w:val="both"/>
        <w:rPr>
          <w:rFonts w:cs="Times New Roman"/>
        </w:rPr>
      </w:pPr>
      <w:r>
        <w:rPr>
          <w:rFonts w:cs="Times New Roman"/>
        </w:rPr>
        <w:t xml:space="preserve">Põlvamaa arengustrateegia on </w:t>
      </w:r>
      <w:r>
        <w:rPr>
          <w:rFonts w:cs="Times New Roman"/>
        </w:rPr>
        <w:t>noortevaldkonna</w:t>
      </w:r>
      <w:r>
        <w:rPr>
          <w:rFonts w:cs="Times New Roman"/>
        </w:rPr>
        <w:t xml:space="preserve"> arengukavaga kooskõlas, ning selle</w:t>
      </w:r>
      <w:r>
        <w:rPr>
          <w:rFonts w:cs="Times New Roman"/>
        </w:rPr>
        <w:t xml:space="preserve"> visiooni ja</w:t>
      </w:r>
      <w:r>
        <w:rPr>
          <w:rFonts w:cs="Times New Roman"/>
        </w:rPr>
        <w:t xml:space="preserve"> üldeesmärgi</w:t>
      </w:r>
      <w:r>
        <w:rPr>
          <w:rFonts w:cs="Times New Roman"/>
        </w:rPr>
        <w:t xml:space="preserve"> saavutamisse </w:t>
      </w:r>
      <w:r>
        <w:rPr>
          <w:rFonts w:cs="Times New Roman"/>
        </w:rPr>
        <w:t>panustavad Põlvamaa arengustrateegia</w:t>
      </w:r>
      <w:r w:rsidR="00573A04">
        <w:rPr>
          <w:rFonts w:cs="Times New Roman"/>
        </w:rPr>
        <w:t xml:space="preserve"> tegevussuund 1.2. „</w:t>
      </w:r>
      <w:r w:rsidR="00573A04" w:rsidRPr="00573A04">
        <w:rPr>
          <w:rFonts w:cs="Times New Roman"/>
        </w:rPr>
        <w:t>Mitmekülgsed  võimalused, tingimused ja tugi aktiivse elu korraldamiseks ja selles osalemiseks</w:t>
      </w:r>
      <w:r w:rsidR="00573A04">
        <w:rPr>
          <w:rFonts w:cs="Times New Roman"/>
        </w:rPr>
        <w:t xml:space="preserve">“, kogu teine </w:t>
      </w:r>
      <w:r w:rsidR="00573A04">
        <w:rPr>
          <w:rFonts w:cs="Times New Roman"/>
        </w:rPr>
        <w:lastRenderedPageBreak/>
        <w:t>strateegiline eesmärk „</w:t>
      </w:r>
      <w:r w:rsidR="00573A04" w:rsidRPr="00573A04">
        <w:rPr>
          <w:rFonts w:cs="Times New Roman"/>
        </w:rPr>
        <w:t>Tervete ja toetatud laste ja noortega maakond</w:t>
      </w:r>
      <w:r w:rsidR="00573A04">
        <w:rPr>
          <w:rFonts w:cs="Times New Roman"/>
        </w:rPr>
        <w:t xml:space="preserve">“ </w:t>
      </w:r>
      <w:r w:rsidR="00876F96">
        <w:rPr>
          <w:rFonts w:cs="Times New Roman"/>
        </w:rPr>
        <w:t xml:space="preserve">oma tegevussuundadega </w:t>
      </w:r>
      <w:r w:rsidR="00573A04">
        <w:rPr>
          <w:rFonts w:cs="Times New Roman"/>
        </w:rPr>
        <w:t>ning tegevussuund 5.1. „</w:t>
      </w:r>
      <w:r w:rsidR="00573A04" w:rsidRPr="00573A04">
        <w:rPr>
          <w:rFonts w:cs="Times New Roman"/>
        </w:rPr>
        <w:t>Noorte ettevõtluse ja hõbemajanduse edendamine</w:t>
      </w:r>
      <w:r w:rsidR="00573A04">
        <w:rPr>
          <w:rFonts w:cs="Times New Roman"/>
        </w:rPr>
        <w:t>“.</w:t>
      </w:r>
    </w:p>
    <w:p w14:paraId="4A0A2465" w14:textId="686B1C65" w:rsidR="00E01802" w:rsidRDefault="00E01802" w:rsidP="001A6221">
      <w:pPr>
        <w:spacing w:before="240"/>
        <w:ind w:left="-11"/>
        <w:jc w:val="both"/>
        <w:rPr>
          <w:rFonts w:cs="Times New Roman"/>
        </w:rPr>
      </w:pPr>
      <w:r w:rsidRPr="00E01802">
        <w:rPr>
          <w:color w:val="538135" w:themeColor="accent6" w:themeShade="BF"/>
          <w:sz w:val="28"/>
          <w:szCs w:val="28"/>
        </w:rPr>
        <w:t>Rahvastiku tervise arengukava 2020-2030</w:t>
      </w:r>
    </w:p>
    <w:p w14:paraId="177D14BA" w14:textId="6C24A0FA" w:rsidR="00E01802" w:rsidRDefault="00BE53C8" w:rsidP="00BE53C8">
      <w:pPr>
        <w:ind w:left="-11"/>
        <w:jc w:val="both"/>
        <w:rPr>
          <w:rFonts w:cs="Times New Roman"/>
        </w:rPr>
      </w:pPr>
      <w:r>
        <w:rPr>
          <w:rFonts w:cs="Times New Roman"/>
        </w:rPr>
        <w:t>Rahvastiku tervise visioon: „</w:t>
      </w:r>
      <w:r w:rsidRPr="00BE53C8">
        <w:rPr>
          <w:rFonts w:cs="Times New Roman"/>
        </w:rPr>
        <w:t>Eesti elanikud elavad kaua ja on võimalikult</w:t>
      </w:r>
      <w:r>
        <w:rPr>
          <w:rFonts w:cs="Times New Roman"/>
        </w:rPr>
        <w:t xml:space="preserve"> </w:t>
      </w:r>
      <w:r w:rsidRPr="00BE53C8">
        <w:rPr>
          <w:rFonts w:cs="Times New Roman"/>
        </w:rPr>
        <w:t>terved kogu elukaare jooksul ning nende</w:t>
      </w:r>
      <w:r>
        <w:rPr>
          <w:rFonts w:cs="Times New Roman"/>
        </w:rPr>
        <w:t xml:space="preserve"> </w:t>
      </w:r>
      <w:r w:rsidRPr="00BE53C8">
        <w:rPr>
          <w:rFonts w:cs="Times New Roman"/>
        </w:rPr>
        <w:t>tervis ja heaolu on hoitud ja toetatud elukeskkonna ja tervisesüsteemi kujundamise kaudu</w:t>
      </w:r>
      <w:r>
        <w:rPr>
          <w:rFonts w:cs="Times New Roman"/>
        </w:rPr>
        <w:t xml:space="preserve"> </w:t>
      </w:r>
      <w:r w:rsidRPr="00BE53C8">
        <w:rPr>
          <w:rFonts w:cs="Times New Roman"/>
        </w:rPr>
        <w:t>avaliku, kolmanda ja erasektori koostöös.</w:t>
      </w:r>
      <w:r>
        <w:rPr>
          <w:rFonts w:cs="Times New Roman"/>
        </w:rPr>
        <w:t xml:space="preserve"> </w:t>
      </w:r>
      <w:r>
        <w:t>Elukeskkonnast tulenevad terviseriskid on minimaalsed. Vähenenud terviseriskidega elukeskkond aitab säilitada tervist ning soodustab inimeste tervislikke valikuid sõltumata nende haridusest, soost ja vanusest ning piirkonnast, kus nad elavad. Inimestel on teadmised, oskused ja vajalik tugivõrgustik, mis neid toetab ning aitab teha enda ja lähedaste tervist edendavaid, parandavaid või säilitavaid otsuseid. Inimestel on haigestumise korral kättesaadav õigeaegne, vajadustest lähtuv ja kvaliteetne tervishoiuteenus ning toetav ja nõustav võrgustik.</w:t>
      </w:r>
      <w:r>
        <w:rPr>
          <w:rFonts w:cs="Times New Roman"/>
        </w:rPr>
        <w:t>“</w:t>
      </w:r>
    </w:p>
    <w:p w14:paraId="54408CAE" w14:textId="576C5601" w:rsidR="00BE53C8" w:rsidRDefault="00BE53C8" w:rsidP="00BE53C8">
      <w:pPr>
        <w:ind w:left="-11"/>
        <w:jc w:val="both"/>
        <w:rPr>
          <w:rFonts w:cs="Times New Roman"/>
        </w:rPr>
      </w:pPr>
      <w:r w:rsidRPr="00BE53C8">
        <w:rPr>
          <w:rFonts w:cs="Times New Roman"/>
        </w:rPr>
        <w:t xml:space="preserve">Põlvamaa arengustrateegia on </w:t>
      </w:r>
      <w:r>
        <w:rPr>
          <w:rFonts w:cs="Times New Roman"/>
        </w:rPr>
        <w:t>rahvastiku tervise</w:t>
      </w:r>
      <w:r w:rsidRPr="00BE53C8">
        <w:rPr>
          <w:rFonts w:cs="Times New Roman"/>
        </w:rPr>
        <w:t xml:space="preserve"> arengukavaga kooskõlas, ning selle visiooni saavutamisse</w:t>
      </w:r>
      <w:r>
        <w:rPr>
          <w:rFonts w:cs="Times New Roman"/>
        </w:rPr>
        <w:t xml:space="preserve"> panustavad Põlvamaa arengustrateegia tegevussuunad 1.3. „</w:t>
      </w:r>
      <w:r w:rsidRPr="00BE53C8">
        <w:rPr>
          <w:rFonts w:cs="Times New Roman"/>
        </w:rPr>
        <w:t>Hoitud ja hoolitsetud elanikud</w:t>
      </w:r>
      <w:r>
        <w:rPr>
          <w:rFonts w:cs="Times New Roman"/>
        </w:rPr>
        <w:t>“ ning 6.1. „</w:t>
      </w:r>
      <w:r w:rsidRPr="00BE53C8">
        <w:rPr>
          <w:rFonts w:cs="Times New Roman"/>
        </w:rPr>
        <w:t>Kliimaneutraalne ning arengut ja heaolu toetav kinnisvara ja avalik ruum</w:t>
      </w:r>
      <w:r>
        <w:rPr>
          <w:rFonts w:cs="Times New Roman"/>
        </w:rPr>
        <w:t xml:space="preserve">“ ning </w:t>
      </w:r>
      <w:r w:rsidR="00876F96">
        <w:rPr>
          <w:rFonts w:cs="Times New Roman"/>
        </w:rPr>
        <w:t>kogu teine s</w:t>
      </w:r>
      <w:r w:rsidR="00876F96">
        <w:rPr>
          <w:rFonts w:cs="Times New Roman"/>
        </w:rPr>
        <w:t>trateegiline eesmärk „</w:t>
      </w:r>
      <w:r w:rsidR="00876F96" w:rsidRPr="00573A04">
        <w:rPr>
          <w:rFonts w:cs="Times New Roman"/>
        </w:rPr>
        <w:t>Tervete ja toetatud laste ja noortega maakond</w:t>
      </w:r>
      <w:r w:rsidR="00876F96">
        <w:rPr>
          <w:rFonts w:cs="Times New Roman"/>
        </w:rPr>
        <w:t>“</w:t>
      </w:r>
      <w:r w:rsidR="00876F96">
        <w:rPr>
          <w:rFonts w:cs="Times New Roman"/>
        </w:rPr>
        <w:t xml:space="preserve"> oma tegevussuundadega.</w:t>
      </w:r>
    </w:p>
    <w:p w14:paraId="05BF3715" w14:textId="3F9F962E" w:rsidR="00E01802" w:rsidRPr="00E01802" w:rsidRDefault="00E01802" w:rsidP="001A6221">
      <w:pPr>
        <w:spacing w:before="240"/>
        <w:ind w:left="-11"/>
        <w:jc w:val="both"/>
        <w:rPr>
          <w:color w:val="538135" w:themeColor="accent6" w:themeShade="BF"/>
          <w:sz w:val="28"/>
          <w:szCs w:val="28"/>
        </w:rPr>
      </w:pPr>
      <w:r w:rsidRPr="00E01802">
        <w:rPr>
          <w:color w:val="538135" w:themeColor="accent6" w:themeShade="BF"/>
          <w:sz w:val="28"/>
          <w:szCs w:val="28"/>
        </w:rPr>
        <w:t>Spordipoliitika põhialused aastani 2030</w:t>
      </w:r>
    </w:p>
    <w:p w14:paraId="4A52E61D" w14:textId="321CD238" w:rsidR="00E01802" w:rsidRDefault="00C72663" w:rsidP="00E01802">
      <w:pPr>
        <w:ind w:left="-11"/>
        <w:jc w:val="both"/>
        <w:rPr>
          <w:rFonts w:cs="Times New Roman"/>
        </w:rPr>
      </w:pPr>
      <w:r w:rsidRPr="00C72663">
        <w:rPr>
          <w:rFonts w:cs="Times New Roman"/>
        </w:rPr>
        <w:t>2015. aastal Riigikogus vastuvõetud „Eesti spordipoliitika põhialused aastani 2030“ määrab kindlaks põhimõtted, millest spordipoliitika kujundamisel lähtutakse.</w:t>
      </w:r>
      <w:r>
        <w:rPr>
          <w:rFonts w:cs="Times New Roman"/>
        </w:rPr>
        <w:t xml:space="preserve"> </w:t>
      </w:r>
    </w:p>
    <w:p w14:paraId="00280B1A" w14:textId="35BD37D6" w:rsidR="00E01802" w:rsidRDefault="00C72663" w:rsidP="00E01802">
      <w:pPr>
        <w:ind w:left="-11"/>
        <w:jc w:val="both"/>
        <w:rPr>
          <w:rFonts w:cs="Times New Roman"/>
        </w:rPr>
      </w:pPr>
      <w:r w:rsidRPr="00C72663">
        <w:rPr>
          <w:rFonts w:cs="Times New Roman"/>
        </w:rPr>
        <w:t>Spordipoliitika alusdokumendi kohaselt on eesmärgiks seatud, et aastal 2030 vastab eestimaalaste vaimne ja kehaline tasakaal ning heaolu Põhjamaade tasemele ning Eestis on kehalist aktiivsust soodustav elukeskkond koos kaasnevate teenustega, mis toetavad inimeste tervena elatud eluea pikenemist ja eneseteostust ning majanduskasvu.</w:t>
      </w:r>
    </w:p>
    <w:p w14:paraId="3713EDC6" w14:textId="1E05D3FC" w:rsidR="00C72663" w:rsidRPr="00E01802" w:rsidRDefault="00C72663" w:rsidP="00E01802">
      <w:pPr>
        <w:ind w:left="-11"/>
        <w:jc w:val="both"/>
        <w:rPr>
          <w:rFonts w:cs="Times New Roman"/>
        </w:rPr>
      </w:pPr>
      <w:r>
        <w:rPr>
          <w:rFonts w:cs="Times New Roman"/>
        </w:rPr>
        <w:t>Põlvamaa arengustrateegia toetab s</w:t>
      </w:r>
      <w:r w:rsidRPr="00C72663">
        <w:rPr>
          <w:rFonts w:cs="Times New Roman"/>
        </w:rPr>
        <w:t>pordipoliitika alusdokumendi</w:t>
      </w:r>
      <w:r>
        <w:rPr>
          <w:rFonts w:cs="Times New Roman"/>
        </w:rPr>
        <w:t>s püstitatud eesmärgi saavutamist läbi tegevussuundade 1.2. „</w:t>
      </w:r>
      <w:r w:rsidRPr="00C72663">
        <w:rPr>
          <w:rFonts w:cs="Times New Roman"/>
        </w:rPr>
        <w:t>Mitmekülgsed  võimalused, tingimused ja tugi aktiivse elu korraldamiseks ja selles osalemiseks</w:t>
      </w:r>
      <w:r>
        <w:rPr>
          <w:rFonts w:cs="Times New Roman"/>
        </w:rPr>
        <w:t>“ ning 1.4. „</w:t>
      </w:r>
      <w:r w:rsidRPr="00C72663">
        <w:rPr>
          <w:rFonts w:cs="Times New Roman"/>
        </w:rPr>
        <w:t>Professionaalsed, motiveeritud ja tugitud eestvedajad, juhendajad ja ametnikud</w:t>
      </w:r>
      <w:r>
        <w:rPr>
          <w:rFonts w:cs="Times New Roman"/>
        </w:rPr>
        <w:t>“.</w:t>
      </w:r>
    </w:p>
    <w:p w14:paraId="647C5CD1" w14:textId="334F2E18" w:rsidR="00E01802" w:rsidRPr="00E01802" w:rsidRDefault="00E01802" w:rsidP="001A6221">
      <w:pPr>
        <w:spacing w:before="240"/>
        <w:ind w:left="-11"/>
        <w:jc w:val="both"/>
        <w:rPr>
          <w:color w:val="538135" w:themeColor="accent6" w:themeShade="BF"/>
          <w:sz w:val="28"/>
          <w:szCs w:val="28"/>
        </w:rPr>
      </w:pPr>
      <w:r w:rsidRPr="00E01802">
        <w:rPr>
          <w:color w:val="538135" w:themeColor="accent6" w:themeShade="BF"/>
          <w:sz w:val="28"/>
          <w:szCs w:val="28"/>
        </w:rPr>
        <w:t>Transpordi ja liikuvuse arengukava 2021–2035</w:t>
      </w:r>
    </w:p>
    <w:p w14:paraId="38D83E64" w14:textId="77777777" w:rsidR="00A75995" w:rsidRDefault="00A75995" w:rsidP="00A75995">
      <w:pPr>
        <w:ind w:left="-11"/>
        <w:jc w:val="both"/>
        <w:rPr>
          <w:rFonts w:cs="Times New Roman"/>
        </w:rPr>
      </w:pPr>
      <w:r w:rsidRPr="00A75995">
        <w:rPr>
          <w:rFonts w:cs="Times New Roman"/>
        </w:rPr>
        <w:t xml:space="preserve">Arengukava </w:t>
      </w:r>
      <w:r>
        <w:rPr>
          <w:rFonts w:cs="Times New Roman"/>
        </w:rPr>
        <w:t xml:space="preserve">eesmärk on </w:t>
      </w:r>
      <w:r w:rsidRPr="00A75995">
        <w:rPr>
          <w:rFonts w:cs="Times New Roman"/>
        </w:rPr>
        <w:t xml:space="preserve">tagada elanikele ja </w:t>
      </w:r>
      <w:r w:rsidRPr="00A75995">
        <w:rPr>
          <w:rFonts w:cs="Times New Roman"/>
        </w:rPr>
        <w:t>ettevõtetele</w:t>
      </w:r>
      <w:r w:rsidRPr="00A75995">
        <w:rPr>
          <w:rFonts w:cs="Times New Roman"/>
        </w:rPr>
        <w:t xml:space="preserve"> mugavad, ligipääsetavad,</w:t>
      </w:r>
      <w:r>
        <w:rPr>
          <w:rFonts w:cs="Times New Roman"/>
        </w:rPr>
        <w:t xml:space="preserve"> </w:t>
      </w:r>
      <w:r w:rsidRPr="00A75995">
        <w:rPr>
          <w:rFonts w:cs="Times New Roman"/>
        </w:rPr>
        <w:t>ohutud, kiired, nutikad ja kestlikud liikumisvõimalused</w:t>
      </w:r>
      <w:r>
        <w:rPr>
          <w:rFonts w:cs="Times New Roman"/>
        </w:rPr>
        <w:t xml:space="preserve">. </w:t>
      </w:r>
    </w:p>
    <w:p w14:paraId="5832188B" w14:textId="77777777" w:rsidR="00A75995" w:rsidRDefault="00A75995" w:rsidP="00A75995">
      <w:pPr>
        <w:ind w:left="-11"/>
        <w:jc w:val="both"/>
        <w:rPr>
          <w:rFonts w:cs="Times New Roman"/>
        </w:rPr>
      </w:pPr>
      <w:r>
        <w:rPr>
          <w:rFonts w:cs="Times New Roman"/>
        </w:rPr>
        <w:t>Arengukaval on kaks tegevussuunda:</w:t>
      </w:r>
    </w:p>
    <w:p w14:paraId="05BF4986" w14:textId="70FEB62B" w:rsidR="00E44BA1" w:rsidRDefault="00A75995" w:rsidP="00E44BA1">
      <w:pPr>
        <w:pStyle w:val="Loendilik"/>
        <w:numPr>
          <w:ilvl w:val="0"/>
          <w:numId w:val="6"/>
        </w:numPr>
        <w:ind w:left="426" w:hanging="426"/>
        <w:jc w:val="both"/>
        <w:rPr>
          <w:rFonts w:cs="Times New Roman"/>
        </w:rPr>
      </w:pPr>
      <w:r w:rsidRPr="00E44BA1">
        <w:rPr>
          <w:rFonts w:cs="Times New Roman"/>
        </w:rPr>
        <w:t>Hästi ühendatud</w:t>
      </w:r>
      <w:r w:rsidRPr="00E44BA1">
        <w:rPr>
          <w:rFonts w:cs="Times New Roman"/>
        </w:rPr>
        <w:t xml:space="preserve"> </w:t>
      </w:r>
      <w:r w:rsidRPr="00E44BA1">
        <w:rPr>
          <w:rFonts w:cs="Times New Roman"/>
        </w:rPr>
        <w:t>Eesti. Konkurentsivõimelinetransport ja taristu</w:t>
      </w:r>
      <w:r w:rsidR="007E4B53">
        <w:rPr>
          <w:rFonts w:cs="Times New Roman"/>
        </w:rPr>
        <w:t>.</w:t>
      </w:r>
    </w:p>
    <w:p w14:paraId="698EE377" w14:textId="77777777" w:rsidR="007E4B53" w:rsidRPr="007E4B53" w:rsidRDefault="00E44BA1" w:rsidP="00E44BA1">
      <w:pPr>
        <w:pStyle w:val="Loendilik"/>
        <w:numPr>
          <w:ilvl w:val="0"/>
          <w:numId w:val="6"/>
        </w:numPr>
        <w:ind w:left="426" w:hanging="426"/>
        <w:jc w:val="both"/>
        <w:rPr>
          <w:rFonts w:cs="Times New Roman"/>
        </w:rPr>
      </w:pPr>
      <w:r>
        <w:t>Liikuvus kui teenus. Üleriigiline, ühendatud ühistransport</w:t>
      </w:r>
      <w:r w:rsidR="007E4B53">
        <w:t>.</w:t>
      </w:r>
    </w:p>
    <w:p w14:paraId="73721840" w14:textId="5FC5341A" w:rsidR="00E01802" w:rsidRDefault="007E4B53" w:rsidP="00390B39">
      <w:pPr>
        <w:jc w:val="both"/>
      </w:pPr>
      <w:r w:rsidRPr="00BE53C8">
        <w:rPr>
          <w:rFonts w:cs="Times New Roman"/>
        </w:rPr>
        <w:t xml:space="preserve">Põlvamaa arengustrateegia on </w:t>
      </w:r>
      <w:r>
        <w:rPr>
          <w:rFonts w:cs="Times New Roman"/>
        </w:rPr>
        <w:t>transpordi ja liikuvuse</w:t>
      </w:r>
      <w:r w:rsidRPr="00BE53C8">
        <w:rPr>
          <w:rFonts w:cs="Times New Roman"/>
        </w:rPr>
        <w:t xml:space="preserve"> arengukavaga kooskõlas, ning selle </w:t>
      </w:r>
      <w:r>
        <w:rPr>
          <w:rFonts w:cs="Times New Roman"/>
        </w:rPr>
        <w:t xml:space="preserve">panustab eesmärgi </w:t>
      </w:r>
      <w:r w:rsidRPr="00BE53C8">
        <w:rPr>
          <w:rFonts w:cs="Times New Roman"/>
        </w:rPr>
        <w:t>saavutamisse</w:t>
      </w:r>
      <w:r>
        <w:rPr>
          <w:rFonts w:cs="Times New Roman"/>
        </w:rPr>
        <w:t xml:space="preserve"> </w:t>
      </w:r>
      <w:r>
        <w:rPr>
          <w:rFonts w:cs="Times New Roman"/>
        </w:rPr>
        <w:t>ja tegevussuundade kohapealsesse sisustamisse</w:t>
      </w:r>
      <w:r>
        <w:rPr>
          <w:rFonts w:cs="Times New Roman"/>
        </w:rPr>
        <w:t xml:space="preserve"> </w:t>
      </w:r>
      <w:r>
        <w:rPr>
          <w:rFonts w:cs="Times New Roman"/>
        </w:rPr>
        <w:t>tegevussuuna 6.2. „</w:t>
      </w:r>
      <w:r w:rsidRPr="007E4B53">
        <w:rPr>
          <w:rFonts w:cs="Times New Roman"/>
        </w:rPr>
        <w:t>Kvaliteetne ja turvaline liiklustaristu ning kättesaadavad ja kestlikud liikuvusteenused</w:t>
      </w:r>
      <w:r>
        <w:rPr>
          <w:rFonts w:cs="Times New Roman"/>
        </w:rPr>
        <w:t>“</w:t>
      </w:r>
      <w:r w:rsidR="00A75995" w:rsidRPr="007E4B53">
        <w:rPr>
          <w:rFonts w:cs="Times New Roman"/>
        </w:rPr>
        <w:t xml:space="preserve"> </w:t>
      </w:r>
      <w:r>
        <w:rPr>
          <w:rFonts w:cs="Times New Roman"/>
        </w:rPr>
        <w:t>kaudu.</w:t>
      </w:r>
    </w:p>
    <w:p w14:paraId="0E040405" w14:textId="4B1AF71B" w:rsidR="00E01802" w:rsidRDefault="00E01802" w:rsidP="00E01802">
      <w:pPr>
        <w:ind w:left="-11"/>
        <w:jc w:val="both"/>
      </w:pPr>
    </w:p>
    <w:p w14:paraId="648695A2" w14:textId="77777777" w:rsidR="00E01802" w:rsidRPr="00E01802" w:rsidRDefault="00E01802" w:rsidP="00E01802">
      <w:pPr>
        <w:ind w:left="-11"/>
        <w:jc w:val="both"/>
      </w:pPr>
    </w:p>
    <w:sectPr w:rsidR="00E01802" w:rsidRPr="00E01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67A"/>
    <w:multiLevelType w:val="hybridMultilevel"/>
    <w:tmpl w:val="F31AF14A"/>
    <w:lvl w:ilvl="0" w:tplc="1976115A">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F4C6859"/>
    <w:multiLevelType w:val="hybridMultilevel"/>
    <w:tmpl w:val="DBF614AE"/>
    <w:lvl w:ilvl="0" w:tplc="1976115A">
      <w:start w:val="1"/>
      <w:numFmt w:val="decimal"/>
      <w:lvlText w:val="%1."/>
      <w:lvlJc w:val="left"/>
      <w:pPr>
        <w:ind w:left="709" w:hanging="360"/>
      </w:pPr>
      <w:rPr>
        <w:rFonts w:hint="default"/>
      </w:rPr>
    </w:lvl>
    <w:lvl w:ilvl="1" w:tplc="04250019" w:tentative="1">
      <w:start w:val="1"/>
      <w:numFmt w:val="lowerLetter"/>
      <w:lvlText w:val="%2."/>
      <w:lvlJc w:val="left"/>
      <w:pPr>
        <w:ind w:left="1429" w:hanging="360"/>
      </w:pPr>
    </w:lvl>
    <w:lvl w:ilvl="2" w:tplc="0425001B" w:tentative="1">
      <w:start w:val="1"/>
      <w:numFmt w:val="lowerRoman"/>
      <w:lvlText w:val="%3."/>
      <w:lvlJc w:val="right"/>
      <w:pPr>
        <w:ind w:left="2149" w:hanging="180"/>
      </w:pPr>
    </w:lvl>
    <w:lvl w:ilvl="3" w:tplc="0425000F" w:tentative="1">
      <w:start w:val="1"/>
      <w:numFmt w:val="decimal"/>
      <w:lvlText w:val="%4."/>
      <w:lvlJc w:val="left"/>
      <w:pPr>
        <w:ind w:left="2869" w:hanging="360"/>
      </w:pPr>
    </w:lvl>
    <w:lvl w:ilvl="4" w:tplc="04250019" w:tentative="1">
      <w:start w:val="1"/>
      <w:numFmt w:val="lowerLetter"/>
      <w:lvlText w:val="%5."/>
      <w:lvlJc w:val="left"/>
      <w:pPr>
        <w:ind w:left="3589" w:hanging="360"/>
      </w:pPr>
    </w:lvl>
    <w:lvl w:ilvl="5" w:tplc="0425001B" w:tentative="1">
      <w:start w:val="1"/>
      <w:numFmt w:val="lowerRoman"/>
      <w:lvlText w:val="%6."/>
      <w:lvlJc w:val="right"/>
      <w:pPr>
        <w:ind w:left="4309" w:hanging="180"/>
      </w:pPr>
    </w:lvl>
    <w:lvl w:ilvl="6" w:tplc="0425000F" w:tentative="1">
      <w:start w:val="1"/>
      <w:numFmt w:val="decimal"/>
      <w:lvlText w:val="%7."/>
      <w:lvlJc w:val="left"/>
      <w:pPr>
        <w:ind w:left="5029" w:hanging="360"/>
      </w:pPr>
    </w:lvl>
    <w:lvl w:ilvl="7" w:tplc="04250019" w:tentative="1">
      <w:start w:val="1"/>
      <w:numFmt w:val="lowerLetter"/>
      <w:lvlText w:val="%8."/>
      <w:lvlJc w:val="left"/>
      <w:pPr>
        <w:ind w:left="5749" w:hanging="360"/>
      </w:pPr>
    </w:lvl>
    <w:lvl w:ilvl="8" w:tplc="0425001B" w:tentative="1">
      <w:start w:val="1"/>
      <w:numFmt w:val="lowerRoman"/>
      <w:lvlText w:val="%9."/>
      <w:lvlJc w:val="right"/>
      <w:pPr>
        <w:ind w:left="6469" w:hanging="180"/>
      </w:pPr>
    </w:lvl>
  </w:abstractNum>
  <w:abstractNum w:abstractNumId="2" w15:restartNumberingAfterBreak="0">
    <w:nsid w:val="36C564E0"/>
    <w:multiLevelType w:val="hybridMultilevel"/>
    <w:tmpl w:val="4CAE1F88"/>
    <w:lvl w:ilvl="0" w:tplc="1976115A">
      <w:start w:val="1"/>
      <w:numFmt w:val="decimal"/>
      <w:lvlText w:val="%1."/>
      <w:lvlJc w:val="left"/>
      <w:pPr>
        <w:ind w:left="709" w:hanging="360"/>
      </w:pPr>
      <w:rPr>
        <w:rFonts w:hint="default"/>
      </w:rPr>
    </w:lvl>
    <w:lvl w:ilvl="1" w:tplc="04250019" w:tentative="1">
      <w:start w:val="1"/>
      <w:numFmt w:val="lowerLetter"/>
      <w:lvlText w:val="%2."/>
      <w:lvlJc w:val="left"/>
      <w:pPr>
        <w:ind w:left="1429" w:hanging="360"/>
      </w:pPr>
    </w:lvl>
    <w:lvl w:ilvl="2" w:tplc="0425001B" w:tentative="1">
      <w:start w:val="1"/>
      <w:numFmt w:val="lowerRoman"/>
      <w:lvlText w:val="%3."/>
      <w:lvlJc w:val="right"/>
      <w:pPr>
        <w:ind w:left="2149" w:hanging="180"/>
      </w:pPr>
    </w:lvl>
    <w:lvl w:ilvl="3" w:tplc="0425000F" w:tentative="1">
      <w:start w:val="1"/>
      <w:numFmt w:val="decimal"/>
      <w:lvlText w:val="%4."/>
      <w:lvlJc w:val="left"/>
      <w:pPr>
        <w:ind w:left="2869" w:hanging="360"/>
      </w:pPr>
    </w:lvl>
    <w:lvl w:ilvl="4" w:tplc="04250019" w:tentative="1">
      <w:start w:val="1"/>
      <w:numFmt w:val="lowerLetter"/>
      <w:lvlText w:val="%5."/>
      <w:lvlJc w:val="left"/>
      <w:pPr>
        <w:ind w:left="3589" w:hanging="360"/>
      </w:pPr>
    </w:lvl>
    <w:lvl w:ilvl="5" w:tplc="0425001B" w:tentative="1">
      <w:start w:val="1"/>
      <w:numFmt w:val="lowerRoman"/>
      <w:lvlText w:val="%6."/>
      <w:lvlJc w:val="right"/>
      <w:pPr>
        <w:ind w:left="4309" w:hanging="180"/>
      </w:pPr>
    </w:lvl>
    <w:lvl w:ilvl="6" w:tplc="0425000F" w:tentative="1">
      <w:start w:val="1"/>
      <w:numFmt w:val="decimal"/>
      <w:lvlText w:val="%7."/>
      <w:lvlJc w:val="left"/>
      <w:pPr>
        <w:ind w:left="5029" w:hanging="360"/>
      </w:pPr>
    </w:lvl>
    <w:lvl w:ilvl="7" w:tplc="04250019" w:tentative="1">
      <w:start w:val="1"/>
      <w:numFmt w:val="lowerLetter"/>
      <w:lvlText w:val="%8."/>
      <w:lvlJc w:val="left"/>
      <w:pPr>
        <w:ind w:left="5749" w:hanging="360"/>
      </w:pPr>
    </w:lvl>
    <w:lvl w:ilvl="8" w:tplc="0425001B" w:tentative="1">
      <w:start w:val="1"/>
      <w:numFmt w:val="lowerRoman"/>
      <w:lvlText w:val="%9."/>
      <w:lvlJc w:val="right"/>
      <w:pPr>
        <w:ind w:left="6469" w:hanging="180"/>
      </w:pPr>
    </w:lvl>
  </w:abstractNum>
  <w:abstractNum w:abstractNumId="3" w15:restartNumberingAfterBreak="0">
    <w:nsid w:val="55C11706"/>
    <w:multiLevelType w:val="hybridMultilevel"/>
    <w:tmpl w:val="D6E003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0090269"/>
    <w:multiLevelType w:val="hybridMultilevel"/>
    <w:tmpl w:val="5DBEB5C8"/>
    <w:lvl w:ilvl="0" w:tplc="1976115A">
      <w:start w:val="1"/>
      <w:numFmt w:val="decimal"/>
      <w:lvlText w:val="%1."/>
      <w:lvlJc w:val="left"/>
      <w:pPr>
        <w:ind w:left="709" w:hanging="360"/>
      </w:pPr>
      <w:rPr>
        <w:rFonts w:hint="default"/>
      </w:rPr>
    </w:lvl>
    <w:lvl w:ilvl="1" w:tplc="04250019" w:tentative="1">
      <w:start w:val="1"/>
      <w:numFmt w:val="lowerLetter"/>
      <w:lvlText w:val="%2."/>
      <w:lvlJc w:val="left"/>
      <w:pPr>
        <w:ind w:left="1429" w:hanging="360"/>
      </w:pPr>
    </w:lvl>
    <w:lvl w:ilvl="2" w:tplc="0425001B" w:tentative="1">
      <w:start w:val="1"/>
      <w:numFmt w:val="lowerRoman"/>
      <w:lvlText w:val="%3."/>
      <w:lvlJc w:val="right"/>
      <w:pPr>
        <w:ind w:left="2149" w:hanging="180"/>
      </w:pPr>
    </w:lvl>
    <w:lvl w:ilvl="3" w:tplc="0425000F" w:tentative="1">
      <w:start w:val="1"/>
      <w:numFmt w:val="decimal"/>
      <w:lvlText w:val="%4."/>
      <w:lvlJc w:val="left"/>
      <w:pPr>
        <w:ind w:left="2869" w:hanging="360"/>
      </w:pPr>
    </w:lvl>
    <w:lvl w:ilvl="4" w:tplc="04250019" w:tentative="1">
      <w:start w:val="1"/>
      <w:numFmt w:val="lowerLetter"/>
      <w:lvlText w:val="%5."/>
      <w:lvlJc w:val="left"/>
      <w:pPr>
        <w:ind w:left="3589" w:hanging="360"/>
      </w:pPr>
    </w:lvl>
    <w:lvl w:ilvl="5" w:tplc="0425001B" w:tentative="1">
      <w:start w:val="1"/>
      <w:numFmt w:val="lowerRoman"/>
      <w:lvlText w:val="%6."/>
      <w:lvlJc w:val="right"/>
      <w:pPr>
        <w:ind w:left="4309" w:hanging="180"/>
      </w:pPr>
    </w:lvl>
    <w:lvl w:ilvl="6" w:tplc="0425000F" w:tentative="1">
      <w:start w:val="1"/>
      <w:numFmt w:val="decimal"/>
      <w:lvlText w:val="%7."/>
      <w:lvlJc w:val="left"/>
      <w:pPr>
        <w:ind w:left="5029" w:hanging="360"/>
      </w:pPr>
    </w:lvl>
    <w:lvl w:ilvl="7" w:tplc="04250019" w:tentative="1">
      <w:start w:val="1"/>
      <w:numFmt w:val="lowerLetter"/>
      <w:lvlText w:val="%8."/>
      <w:lvlJc w:val="left"/>
      <w:pPr>
        <w:ind w:left="5749" w:hanging="360"/>
      </w:pPr>
    </w:lvl>
    <w:lvl w:ilvl="8" w:tplc="0425001B" w:tentative="1">
      <w:start w:val="1"/>
      <w:numFmt w:val="lowerRoman"/>
      <w:lvlText w:val="%9."/>
      <w:lvlJc w:val="right"/>
      <w:pPr>
        <w:ind w:left="6469" w:hanging="180"/>
      </w:pPr>
    </w:lvl>
  </w:abstractNum>
  <w:abstractNum w:abstractNumId="5" w15:restartNumberingAfterBreak="0">
    <w:nsid w:val="665F0DDB"/>
    <w:multiLevelType w:val="hybridMultilevel"/>
    <w:tmpl w:val="0414DAAA"/>
    <w:lvl w:ilvl="0" w:tplc="1976115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90533633">
    <w:abstractNumId w:val="5"/>
  </w:num>
  <w:num w:numId="2" w16cid:durableId="873930759">
    <w:abstractNumId w:val="3"/>
  </w:num>
  <w:num w:numId="3" w16cid:durableId="1582906685">
    <w:abstractNumId w:val="0"/>
  </w:num>
  <w:num w:numId="4" w16cid:durableId="1734082852">
    <w:abstractNumId w:val="4"/>
  </w:num>
  <w:num w:numId="5" w16cid:durableId="332226931">
    <w:abstractNumId w:val="2"/>
  </w:num>
  <w:num w:numId="6" w16cid:durableId="578099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22"/>
    <w:rsid w:val="00037F02"/>
    <w:rsid w:val="000569D7"/>
    <w:rsid w:val="000D193F"/>
    <w:rsid w:val="00140EA6"/>
    <w:rsid w:val="001702EC"/>
    <w:rsid w:val="0019136D"/>
    <w:rsid w:val="00192B78"/>
    <w:rsid w:val="001A6221"/>
    <w:rsid w:val="001C2E50"/>
    <w:rsid w:val="002D5062"/>
    <w:rsid w:val="00341C26"/>
    <w:rsid w:val="0034508B"/>
    <w:rsid w:val="00390B39"/>
    <w:rsid w:val="00407369"/>
    <w:rsid w:val="004579E9"/>
    <w:rsid w:val="00495E04"/>
    <w:rsid w:val="00573A04"/>
    <w:rsid w:val="00584480"/>
    <w:rsid w:val="005E19BD"/>
    <w:rsid w:val="005F2FD5"/>
    <w:rsid w:val="005F3722"/>
    <w:rsid w:val="0060484F"/>
    <w:rsid w:val="00671520"/>
    <w:rsid w:val="006B24F7"/>
    <w:rsid w:val="00710B62"/>
    <w:rsid w:val="00791AE0"/>
    <w:rsid w:val="007C37B8"/>
    <w:rsid w:val="007E4B53"/>
    <w:rsid w:val="00802A8A"/>
    <w:rsid w:val="0084003A"/>
    <w:rsid w:val="00876F96"/>
    <w:rsid w:val="008D3687"/>
    <w:rsid w:val="008E11B1"/>
    <w:rsid w:val="00903DFD"/>
    <w:rsid w:val="00906D57"/>
    <w:rsid w:val="00936898"/>
    <w:rsid w:val="009910AB"/>
    <w:rsid w:val="009B6163"/>
    <w:rsid w:val="009D0595"/>
    <w:rsid w:val="00A00219"/>
    <w:rsid w:val="00A06519"/>
    <w:rsid w:val="00A732C5"/>
    <w:rsid w:val="00A75995"/>
    <w:rsid w:val="00B73F32"/>
    <w:rsid w:val="00BE1F22"/>
    <w:rsid w:val="00BE53C8"/>
    <w:rsid w:val="00C16B89"/>
    <w:rsid w:val="00C72663"/>
    <w:rsid w:val="00D124B3"/>
    <w:rsid w:val="00D47F81"/>
    <w:rsid w:val="00D73432"/>
    <w:rsid w:val="00DB29ED"/>
    <w:rsid w:val="00E01802"/>
    <w:rsid w:val="00E44BA1"/>
    <w:rsid w:val="00EC4D3C"/>
    <w:rsid w:val="00F02148"/>
    <w:rsid w:val="00F266BF"/>
    <w:rsid w:val="00F26DC9"/>
    <w:rsid w:val="00F37C3C"/>
    <w:rsid w:val="00FD1B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76EE"/>
  <w15:chartTrackingRefBased/>
  <w15:docId w15:val="{80974198-1287-4709-958A-C34A896E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579E9"/>
  </w:style>
  <w:style w:type="paragraph" w:styleId="Pealkiri1">
    <w:name w:val="heading 1"/>
    <w:basedOn w:val="Normaallaad"/>
    <w:next w:val="Normaallaad"/>
    <w:link w:val="Pealkiri1Mrk"/>
    <w:uiPriority w:val="9"/>
    <w:qFormat/>
    <w:rsid w:val="0045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semiHidden/>
    <w:unhideWhenUsed/>
    <w:qFormat/>
    <w:rsid w:val="00E018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4">
    <w:name w:val="heading 4"/>
    <w:basedOn w:val="Normaallaad"/>
    <w:next w:val="Normaallaad"/>
    <w:link w:val="Pealkiri4Mrk"/>
    <w:uiPriority w:val="9"/>
    <w:semiHidden/>
    <w:unhideWhenUsed/>
    <w:qFormat/>
    <w:rsid w:val="00E018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579E9"/>
    <w:rPr>
      <w:rFonts w:asciiTheme="majorHAnsi" w:eastAsiaTheme="majorEastAsia" w:hAnsiTheme="majorHAnsi" w:cstheme="majorBidi"/>
      <w:color w:val="2F5496" w:themeColor="accent1" w:themeShade="BF"/>
      <w:sz w:val="32"/>
      <w:szCs w:val="32"/>
    </w:rPr>
  </w:style>
  <w:style w:type="table" w:styleId="Kontuurtabel">
    <w:name w:val="Table Grid"/>
    <w:basedOn w:val="Normaaltabel"/>
    <w:uiPriority w:val="39"/>
    <w:rsid w:val="00C1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umeruuttabel5rhk6">
    <w:name w:val="Grid Table 5 Dark Accent 6"/>
    <w:basedOn w:val="Normaaltabel"/>
    <w:uiPriority w:val="50"/>
    <w:rsid w:val="001702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oendilik">
    <w:name w:val="List Paragraph"/>
    <w:basedOn w:val="Normaallaad"/>
    <w:uiPriority w:val="34"/>
    <w:qFormat/>
    <w:rsid w:val="001702EC"/>
    <w:pPr>
      <w:ind w:left="720"/>
      <w:contextualSpacing/>
    </w:pPr>
  </w:style>
  <w:style w:type="table" w:styleId="Ruuttabel4rhk6">
    <w:name w:val="Grid Table 4 Accent 6"/>
    <w:basedOn w:val="Normaaltabel"/>
    <w:uiPriority w:val="49"/>
    <w:rsid w:val="008D368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1C2E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2Mrk">
    <w:name w:val="Pealkiri 2 Märk"/>
    <w:basedOn w:val="Liguvaikefont"/>
    <w:link w:val="Pealkiri2"/>
    <w:uiPriority w:val="9"/>
    <w:semiHidden/>
    <w:rsid w:val="00E01802"/>
    <w:rPr>
      <w:rFonts w:asciiTheme="majorHAnsi" w:eastAsiaTheme="majorEastAsia" w:hAnsiTheme="majorHAnsi" w:cstheme="majorBidi"/>
      <w:color w:val="2F5496" w:themeColor="accent1" w:themeShade="BF"/>
      <w:sz w:val="26"/>
      <w:szCs w:val="26"/>
    </w:rPr>
  </w:style>
  <w:style w:type="character" w:customStyle="1" w:styleId="Pealkiri4Mrk">
    <w:name w:val="Pealkiri 4 Märk"/>
    <w:basedOn w:val="Liguvaikefont"/>
    <w:link w:val="Pealkiri4"/>
    <w:uiPriority w:val="9"/>
    <w:semiHidden/>
    <w:rsid w:val="00E0180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4429">
      <w:bodyDiv w:val="1"/>
      <w:marLeft w:val="0"/>
      <w:marRight w:val="0"/>
      <w:marTop w:val="0"/>
      <w:marBottom w:val="0"/>
      <w:divBdr>
        <w:top w:val="none" w:sz="0" w:space="0" w:color="auto"/>
        <w:left w:val="none" w:sz="0" w:space="0" w:color="auto"/>
        <w:bottom w:val="none" w:sz="0" w:space="0" w:color="auto"/>
        <w:right w:val="none" w:sz="0" w:space="0" w:color="auto"/>
      </w:divBdr>
    </w:div>
    <w:div w:id="18398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BCBF-E8FF-4A59-B615-8BA40357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Pages>
  <Words>2985</Words>
  <Characters>17314</Characters>
  <Application>Microsoft Office Word</Application>
  <DocSecurity>0</DocSecurity>
  <Lines>144</Lines>
  <Paragraphs>40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Aivo Ülper</dc:creator>
  <cp:keywords/>
  <dc:description/>
  <cp:lastModifiedBy>Aivo Ülper</cp:lastModifiedBy>
  <cp:revision>45</cp:revision>
  <dcterms:created xsi:type="dcterms:W3CDTF">2023-01-15T12:19:00Z</dcterms:created>
  <dcterms:modified xsi:type="dcterms:W3CDTF">2023-01-17T21:48:00Z</dcterms:modified>
</cp:coreProperties>
</file>